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42" w:rsidRDefault="00851D42" w:rsidP="00851D42">
      <w:pPr>
        <w:keepNext/>
        <w:spacing w:line="360" w:lineRule="auto"/>
        <w:ind w:firstLineChars="200" w:firstLine="562"/>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1.1建设内容</w:t>
      </w:r>
    </w:p>
    <w:p w:rsidR="00851D42" w:rsidRDefault="00851D42" w:rsidP="00851D42">
      <w:pPr>
        <w:spacing w:line="360" w:lineRule="auto"/>
        <w:ind w:firstLineChars="200" w:firstLine="420"/>
        <w:jc w:val="center"/>
        <w:rPr>
          <w:rFonts w:ascii="宋体" w:hAnsi="宋体" w:cs="宋体"/>
          <w:sz w:val="21"/>
          <w:szCs w:val="21"/>
          <w:lang w:eastAsia="zh-CN"/>
        </w:rPr>
      </w:pPr>
      <w:r>
        <w:rPr>
          <w:rFonts w:ascii="宋体" w:hAnsi="宋体" w:cs="宋体" w:hint="eastAsia"/>
          <w:sz w:val="21"/>
          <w:szCs w:val="21"/>
        </w:rPr>
        <w:t>表1 采购</w:t>
      </w:r>
      <w:r>
        <w:rPr>
          <w:rFonts w:ascii="宋体" w:hAnsi="宋体" w:cs="宋体" w:hint="eastAsia"/>
          <w:sz w:val="21"/>
          <w:szCs w:val="21"/>
          <w:lang w:eastAsia="zh-CN"/>
        </w:rPr>
        <w:t>需求</w:t>
      </w:r>
    </w:p>
    <w:tbl>
      <w:tblPr>
        <w:tblStyle w:val="a6"/>
        <w:tblW w:w="8846" w:type="dxa"/>
        <w:jc w:val="center"/>
        <w:tblLayout w:type="fixed"/>
        <w:tblLook w:val="04A0" w:firstRow="1" w:lastRow="0" w:firstColumn="1" w:lastColumn="0" w:noHBand="0" w:noVBand="1"/>
      </w:tblPr>
      <w:tblGrid>
        <w:gridCol w:w="827"/>
        <w:gridCol w:w="1837"/>
        <w:gridCol w:w="922"/>
        <w:gridCol w:w="5260"/>
      </w:tblGrid>
      <w:tr w:rsidR="00851D42" w:rsidTr="005319BE">
        <w:trPr>
          <w:trHeight w:val="567"/>
          <w:jc w:val="center"/>
        </w:trPr>
        <w:tc>
          <w:tcPr>
            <w:tcW w:w="827" w:type="dxa"/>
            <w:vAlign w:val="center"/>
          </w:tcPr>
          <w:p w:rsidR="00851D42" w:rsidRDefault="00851D42" w:rsidP="005319BE">
            <w:pPr>
              <w:widowControl/>
              <w:spacing w:line="360" w:lineRule="auto"/>
              <w:rPr>
                <w:rFonts w:ascii="宋体" w:hAnsi="宋体" w:cs="宋体"/>
                <w:b/>
                <w:kern w:val="2"/>
                <w:lang w:eastAsia="zh-CN"/>
              </w:rPr>
            </w:pPr>
            <w:r>
              <w:rPr>
                <w:rFonts w:ascii="宋体" w:hAnsi="宋体" w:cs="宋体" w:hint="eastAsia"/>
                <w:b/>
                <w:kern w:val="2"/>
                <w:lang w:eastAsia="zh-CN"/>
              </w:rPr>
              <w:t>序 号</w:t>
            </w:r>
          </w:p>
        </w:tc>
        <w:tc>
          <w:tcPr>
            <w:tcW w:w="1837" w:type="dxa"/>
            <w:vAlign w:val="center"/>
          </w:tcPr>
          <w:p w:rsidR="00851D42" w:rsidRDefault="00851D42" w:rsidP="005319BE">
            <w:pPr>
              <w:widowControl/>
              <w:spacing w:line="360" w:lineRule="auto"/>
              <w:rPr>
                <w:rFonts w:ascii="宋体" w:hAnsi="宋体" w:cs="宋体"/>
                <w:b/>
                <w:kern w:val="2"/>
                <w:lang w:eastAsia="zh-CN"/>
              </w:rPr>
            </w:pPr>
            <w:r>
              <w:rPr>
                <w:rFonts w:ascii="宋体" w:hAnsi="宋体" w:cs="宋体" w:hint="eastAsia"/>
                <w:b/>
                <w:kern w:val="2"/>
                <w:lang w:eastAsia="zh-CN"/>
              </w:rPr>
              <w:t>设备名称</w:t>
            </w:r>
          </w:p>
        </w:tc>
        <w:tc>
          <w:tcPr>
            <w:tcW w:w="922" w:type="dxa"/>
            <w:vAlign w:val="center"/>
          </w:tcPr>
          <w:p w:rsidR="00851D42" w:rsidRDefault="00851D42" w:rsidP="005319BE">
            <w:pPr>
              <w:widowControl/>
              <w:spacing w:line="360" w:lineRule="auto"/>
              <w:rPr>
                <w:rFonts w:ascii="宋体" w:hAnsi="宋体" w:cs="宋体"/>
                <w:b/>
                <w:kern w:val="2"/>
                <w:lang w:eastAsia="zh-CN"/>
              </w:rPr>
            </w:pPr>
            <w:r>
              <w:rPr>
                <w:rFonts w:ascii="宋体" w:hAnsi="宋体" w:cs="宋体" w:hint="eastAsia"/>
                <w:b/>
                <w:kern w:val="2"/>
                <w:lang w:eastAsia="zh-CN"/>
              </w:rPr>
              <w:t>数量</w:t>
            </w:r>
          </w:p>
        </w:tc>
        <w:tc>
          <w:tcPr>
            <w:tcW w:w="5260" w:type="dxa"/>
            <w:vAlign w:val="center"/>
          </w:tcPr>
          <w:p w:rsidR="00851D42" w:rsidRDefault="00851D42" w:rsidP="005319BE">
            <w:pPr>
              <w:widowControl/>
              <w:spacing w:line="360" w:lineRule="auto"/>
              <w:rPr>
                <w:rFonts w:ascii="宋体" w:hAnsi="宋体" w:cs="宋体"/>
                <w:b/>
                <w:kern w:val="2"/>
                <w:lang w:eastAsia="zh-CN"/>
              </w:rPr>
            </w:pPr>
            <w:r>
              <w:rPr>
                <w:rFonts w:ascii="宋体" w:hAnsi="宋体" w:cs="宋体" w:hint="eastAsia"/>
                <w:b/>
                <w:kern w:val="2"/>
                <w:lang w:eastAsia="zh-CN"/>
              </w:rPr>
              <w:t>备注</w:t>
            </w:r>
          </w:p>
        </w:tc>
      </w:tr>
      <w:tr w:rsidR="00851D42" w:rsidTr="005319BE">
        <w:trPr>
          <w:trHeight w:val="1778"/>
          <w:jc w:val="center"/>
        </w:trPr>
        <w:tc>
          <w:tcPr>
            <w:tcW w:w="827" w:type="dxa"/>
            <w:vAlign w:val="center"/>
          </w:tcPr>
          <w:p w:rsidR="00851D42" w:rsidRDefault="00851D42" w:rsidP="005319BE">
            <w:pPr>
              <w:widowControl/>
              <w:spacing w:line="360" w:lineRule="auto"/>
              <w:rPr>
                <w:rFonts w:ascii="宋体" w:hAnsi="宋体" w:cs="宋体"/>
                <w:kern w:val="2"/>
                <w:lang w:eastAsia="zh-CN"/>
              </w:rPr>
            </w:pPr>
            <w:r>
              <w:rPr>
                <w:rFonts w:ascii="宋体" w:hAnsi="宋体" w:cs="宋体" w:hint="eastAsia"/>
                <w:kern w:val="2"/>
                <w:lang w:eastAsia="zh-CN"/>
              </w:rPr>
              <w:t>1</w:t>
            </w:r>
          </w:p>
        </w:tc>
        <w:tc>
          <w:tcPr>
            <w:tcW w:w="1837" w:type="dxa"/>
            <w:vAlign w:val="center"/>
          </w:tcPr>
          <w:p w:rsidR="00851D42" w:rsidRDefault="00851D42" w:rsidP="005319BE">
            <w:pPr>
              <w:widowControl/>
              <w:spacing w:line="360" w:lineRule="auto"/>
              <w:rPr>
                <w:rFonts w:ascii="宋体" w:hAnsi="宋体" w:cs="宋体"/>
                <w:kern w:val="2"/>
                <w:lang w:eastAsia="zh-CN"/>
              </w:rPr>
            </w:pPr>
            <w:r>
              <w:rPr>
                <w:rFonts w:ascii="宋体" w:hAnsi="宋体" w:cs="宋体" w:hint="eastAsia"/>
                <w:kern w:val="2"/>
                <w:lang w:eastAsia="zh-CN"/>
              </w:rPr>
              <w:t>一体化微型水质自动监测站</w:t>
            </w:r>
          </w:p>
        </w:tc>
        <w:tc>
          <w:tcPr>
            <w:tcW w:w="922" w:type="dxa"/>
            <w:vAlign w:val="center"/>
          </w:tcPr>
          <w:p w:rsidR="00851D42" w:rsidRDefault="00851D42" w:rsidP="005319BE">
            <w:pPr>
              <w:widowControl/>
              <w:spacing w:line="360" w:lineRule="auto"/>
              <w:rPr>
                <w:rFonts w:ascii="宋体" w:hAnsi="宋体" w:cs="宋体"/>
                <w:kern w:val="2"/>
                <w:lang w:eastAsia="zh-CN"/>
              </w:rPr>
            </w:pPr>
            <w:r>
              <w:rPr>
                <w:rFonts w:ascii="宋体" w:hAnsi="宋体" w:cs="宋体" w:hint="eastAsia"/>
                <w:kern w:val="2"/>
                <w:lang w:eastAsia="zh-CN"/>
              </w:rPr>
              <w:t>5套</w:t>
            </w:r>
          </w:p>
        </w:tc>
        <w:tc>
          <w:tcPr>
            <w:tcW w:w="5260" w:type="dxa"/>
            <w:vAlign w:val="center"/>
          </w:tcPr>
          <w:p w:rsidR="00851D42" w:rsidRDefault="00851D42" w:rsidP="005319BE">
            <w:pPr>
              <w:widowControl/>
              <w:spacing w:line="360" w:lineRule="auto"/>
              <w:rPr>
                <w:rFonts w:ascii="宋体" w:hAnsi="宋体" w:cs="宋体"/>
                <w:kern w:val="2"/>
                <w:lang w:eastAsia="zh-CN"/>
              </w:rPr>
            </w:pPr>
            <w:r>
              <w:rPr>
                <w:rFonts w:ascii="宋体" w:hAnsi="宋体" w:cs="宋体" w:hint="eastAsia"/>
                <w:kern w:val="2"/>
                <w:lang w:eastAsia="zh-CN"/>
              </w:rPr>
              <w:t>自动监测站含集成机柜、监测模块（指标含温度、pH、电导率、浊度、溶解氧、氨氮、总磷、总氮、化学需氧量）、采水单元、配水单元、控制单元、通讯单元、质</w:t>
            </w:r>
            <w:proofErr w:type="gramStart"/>
            <w:r>
              <w:rPr>
                <w:rFonts w:ascii="宋体" w:hAnsi="宋体" w:cs="宋体" w:hint="eastAsia"/>
                <w:kern w:val="2"/>
                <w:lang w:eastAsia="zh-CN"/>
              </w:rPr>
              <w:t>控配样</w:t>
            </w:r>
            <w:proofErr w:type="gramEnd"/>
            <w:r>
              <w:rPr>
                <w:rFonts w:ascii="宋体" w:hAnsi="宋体" w:cs="宋体" w:hint="eastAsia"/>
                <w:kern w:val="2"/>
                <w:lang w:eastAsia="zh-CN"/>
              </w:rPr>
              <w:t xml:space="preserve">单元、辅助单元等 </w:t>
            </w:r>
          </w:p>
        </w:tc>
      </w:tr>
      <w:tr w:rsidR="00851D42" w:rsidTr="005319BE">
        <w:trPr>
          <w:trHeight w:val="1312"/>
          <w:jc w:val="center"/>
        </w:trPr>
        <w:tc>
          <w:tcPr>
            <w:tcW w:w="827" w:type="dxa"/>
            <w:vAlign w:val="center"/>
          </w:tcPr>
          <w:p w:rsidR="00851D42" w:rsidRDefault="00851D42" w:rsidP="005319BE">
            <w:pPr>
              <w:widowControl/>
              <w:spacing w:line="360" w:lineRule="auto"/>
              <w:rPr>
                <w:rFonts w:ascii="宋体" w:hAnsi="宋体" w:cs="宋体"/>
                <w:kern w:val="2"/>
                <w:lang w:eastAsia="zh-CN"/>
              </w:rPr>
            </w:pPr>
            <w:r>
              <w:rPr>
                <w:rFonts w:ascii="宋体" w:hAnsi="宋体" w:cs="宋体" w:hint="eastAsia"/>
                <w:kern w:val="2"/>
                <w:lang w:eastAsia="zh-CN"/>
              </w:rPr>
              <w:t>2</w:t>
            </w:r>
          </w:p>
        </w:tc>
        <w:tc>
          <w:tcPr>
            <w:tcW w:w="1837" w:type="dxa"/>
            <w:vAlign w:val="center"/>
          </w:tcPr>
          <w:p w:rsidR="00851D42" w:rsidRDefault="00851D42" w:rsidP="005319BE">
            <w:pPr>
              <w:widowControl/>
              <w:spacing w:line="360" w:lineRule="auto"/>
              <w:rPr>
                <w:rFonts w:ascii="宋体" w:hAnsi="宋体" w:cs="宋体"/>
                <w:kern w:val="2"/>
                <w:lang w:eastAsia="zh-CN"/>
              </w:rPr>
            </w:pPr>
            <w:r>
              <w:rPr>
                <w:rFonts w:ascii="宋体" w:hAnsi="宋体" w:cs="宋体" w:hint="eastAsia"/>
                <w:kern w:val="2"/>
                <w:lang w:eastAsia="zh-CN"/>
              </w:rPr>
              <w:t>水环境在线监测</w:t>
            </w:r>
            <w:r>
              <w:rPr>
                <w:rFonts w:ascii="宋体" w:hAnsi="宋体" w:cs="宋体" w:hint="eastAsia"/>
                <w:lang w:eastAsia="zh-CN"/>
              </w:rPr>
              <w:t>数据管理平台</w:t>
            </w:r>
          </w:p>
        </w:tc>
        <w:tc>
          <w:tcPr>
            <w:tcW w:w="922" w:type="dxa"/>
            <w:vAlign w:val="center"/>
          </w:tcPr>
          <w:p w:rsidR="00851D42" w:rsidRDefault="00851D42" w:rsidP="005319BE">
            <w:pPr>
              <w:widowControl/>
              <w:spacing w:line="360" w:lineRule="auto"/>
              <w:rPr>
                <w:rFonts w:ascii="宋体" w:hAnsi="宋体" w:cs="宋体"/>
                <w:kern w:val="2"/>
                <w:lang w:eastAsia="zh-CN"/>
              </w:rPr>
            </w:pPr>
            <w:r>
              <w:rPr>
                <w:rFonts w:ascii="宋体" w:hAnsi="宋体" w:cs="宋体" w:hint="eastAsia"/>
                <w:kern w:val="2"/>
                <w:lang w:eastAsia="zh-CN"/>
              </w:rPr>
              <w:t>1套</w:t>
            </w:r>
          </w:p>
        </w:tc>
        <w:tc>
          <w:tcPr>
            <w:tcW w:w="5260" w:type="dxa"/>
            <w:vAlign w:val="center"/>
          </w:tcPr>
          <w:p w:rsidR="00851D42" w:rsidRDefault="00851D42" w:rsidP="005319BE">
            <w:pPr>
              <w:widowControl/>
              <w:spacing w:line="360" w:lineRule="auto"/>
              <w:rPr>
                <w:rFonts w:ascii="宋体" w:hAnsi="宋体" w:cs="宋体"/>
                <w:kern w:val="2"/>
                <w:lang w:eastAsia="zh-CN"/>
              </w:rPr>
            </w:pPr>
            <w:r>
              <w:rPr>
                <w:rFonts w:ascii="宋体" w:hAnsi="宋体" w:cs="宋体" w:hint="eastAsia"/>
                <w:lang w:eastAsia="zh-CN"/>
              </w:rPr>
              <w:t>水质监测系统实时联网软件平台，可满足监测信息数据统一接收、查看、处理、分析、评价、整编、发布、管理等需求</w:t>
            </w:r>
          </w:p>
        </w:tc>
      </w:tr>
    </w:tbl>
    <w:p w:rsidR="00851D42" w:rsidRDefault="00851D42" w:rsidP="00851D42">
      <w:pPr>
        <w:keepNext/>
        <w:spacing w:line="360" w:lineRule="auto"/>
        <w:ind w:firstLineChars="100" w:firstLine="281"/>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2.1通用技术要求</w:t>
      </w:r>
    </w:p>
    <w:p w:rsidR="00851D42" w:rsidRDefault="00851D42" w:rsidP="00851D42">
      <w:pPr>
        <w:keepNext/>
        <w:spacing w:line="360" w:lineRule="auto"/>
        <w:ind w:firstLineChars="100" w:firstLine="281"/>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2.1.1操作语言</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水质自动分析模块和控制单元所有显示须为中文，符合《信息交换用汉字编码字符集》（GB2312－1980）。</w:t>
      </w:r>
    </w:p>
    <w:p w:rsidR="00851D42" w:rsidRDefault="00851D42" w:rsidP="00851D42">
      <w:pPr>
        <w:keepNext/>
        <w:spacing w:line="360" w:lineRule="auto"/>
        <w:ind w:firstLineChars="100" w:firstLine="261"/>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2.1.2供电要求</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设备的运行电压为：(220±22)V，交流频率为（50±0.5）Hz；</w:t>
      </w:r>
    </w:p>
    <w:p w:rsidR="00851D42" w:rsidRDefault="00851D42" w:rsidP="00851D42">
      <w:pPr>
        <w:keepNext/>
        <w:spacing w:line="360" w:lineRule="auto"/>
        <w:ind w:firstLineChars="100" w:firstLine="261"/>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2.1.3使用环境要求</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所有设备在温度-5～50℃、相对湿度小于90%环境下能够正常运行。</w:t>
      </w:r>
    </w:p>
    <w:p w:rsidR="00851D42" w:rsidRDefault="00851D42" w:rsidP="00851D42">
      <w:pPr>
        <w:keepNext/>
        <w:spacing w:line="360" w:lineRule="auto"/>
        <w:ind w:firstLineChars="100" w:firstLine="261"/>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2.1.4试剂供应</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（1）需提供仪器试剂配制方法，并提供试剂成分及纯度；</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（2）仪器所需试剂贮存于专用试剂袋中，试剂保质期不低于两周；</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（3）仪器使用的实验用水、试剂、标准溶液均须达到《国家地表水环境质量监测网监测任务作业指导书》（试行）（中国环境出版社，2017）中质量保证要求。</w:t>
      </w:r>
    </w:p>
    <w:p w:rsidR="00851D42" w:rsidRDefault="00851D42" w:rsidP="00851D42">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2.1.5通讯协议要求</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中标供应商需按照采购人指定的传输协议要求，将所有监测数据传输至指定的平台，包括仪器的实时状态、关键参数和监测数据等；并向采购人提供所有仪</w:t>
      </w:r>
      <w:r>
        <w:rPr>
          <w:rFonts w:ascii="宋体" w:hAnsi="宋体" w:cs="宋体" w:hint="eastAsia"/>
          <w:lang w:eastAsia="zh-CN"/>
        </w:rPr>
        <w:lastRenderedPageBreak/>
        <w:t>器的底层通信协议。设备发生故障时应能够对异常值自动报警；具有双向数据传输功能和工作状态输出功能，能够实现仪器设备的远程控制，并完成与现有环境自动监控系统无缝对接。</w:t>
      </w:r>
    </w:p>
    <w:p w:rsidR="00851D42" w:rsidRDefault="00851D42" w:rsidP="00851D42">
      <w:pPr>
        <w:keepNext/>
        <w:spacing w:line="360" w:lineRule="auto"/>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2.2一体化微型水质自动监测站技术要求</w:t>
      </w:r>
    </w:p>
    <w:p w:rsidR="00851D42" w:rsidRDefault="00851D42" w:rsidP="00851D42">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2.2.1总体要求</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★为了保障整个微型站性能稳定且具有较强的兼容性，系统所有分析仪器监测模块须为同一品牌的产品。（需提供承诺函及产品彩页作为佐证）。</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★1、为减少建设成本，最大限度减轻征地补偿压力甚至不必征地，要求一体化微型水质监测站采用</w:t>
      </w:r>
      <w:proofErr w:type="gramStart"/>
      <w:r>
        <w:rPr>
          <w:rFonts w:ascii="宋体" w:hAnsi="宋体" w:cs="宋体" w:hint="eastAsia"/>
          <w:lang w:eastAsia="zh-CN"/>
        </w:rPr>
        <w:t>一</w:t>
      </w:r>
      <w:proofErr w:type="gramEnd"/>
      <w:r>
        <w:rPr>
          <w:rFonts w:ascii="宋体" w:hAnsi="宋体" w:cs="宋体" w:hint="eastAsia"/>
          <w:lang w:eastAsia="zh-CN"/>
        </w:rPr>
        <w:t>体式集成机柜，布局合理，整齐美观，占地面积不超过1平方米（须提供详细尺寸图、功能说明图及具备CMA及CNAS资质的检测部门出具的检测报告）；</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2、一体化微型水质监测站为成熟产品，非分布式仪器组合而成的集成产品，采用模块化设计，预留有额外分析单元接口，可随意扩展测量参数，单一分析单元故障或剥离后不影响系统的运行。分析模块的接口一致，使得模块的位置可变动。当模块故障无法现场修复时，抽拉式设计可快速接入新的模块，提升故障响应速度（模块化抽拉式设计，需提供照片作为佐证，照片要求和所投产品一致）。</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★3、系统内部利用率高，要求所投产品应至少预留一个模块位置，后期可根据需要扩展其他模块。（需提供照片作为佐证，照片要求和所投产品一致）</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4、一体化微型水质监测站采用</w:t>
      </w:r>
      <w:proofErr w:type="gramStart"/>
      <w:r>
        <w:rPr>
          <w:rFonts w:ascii="宋体" w:hAnsi="宋体" w:cs="宋体" w:hint="eastAsia"/>
          <w:lang w:eastAsia="zh-CN"/>
        </w:rPr>
        <w:t>内外双屏</w:t>
      </w:r>
      <w:proofErr w:type="gramEnd"/>
      <w:r>
        <w:rPr>
          <w:rFonts w:ascii="宋体" w:hAnsi="宋体" w:cs="宋体" w:hint="eastAsia"/>
          <w:lang w:eastAsia="zh-CN"/>
        </w:rPr>
        <w:t>设计（需提供照片作为佐证，照片要求和所投产品一致），外部屏幕可根据客户要求定制显示内容，内部屏幕为中控系统控制界面，可进行系统的控制、运维与数据信息的查看。</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5、化学需氧量、氨氮、总磷、总氮分析模块具有自动标样核查、零点校准、标样校准等功能；</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★6、监测模块采用采用注射泵，取样精度需达到1微升，确保测量结果的精准度；由于试剂具有腐蚀性，且取样</w:t>
      </w:r>
      <w:proofErr w:type="gramStart"/>
      <w:r>
        <w:rPr>
          <w:rFonts w:ascii="宋体" w:hAnsi="宋体" w:cs="宋体" w:hint="eastAsia"/>
          <w:lang w:eastAsia="zh-CN"/>
        </w:rPr>
        <w:t>泵内部</w:t>
      </w:r>
      <w:proofErr w:type="gramEnd"/>
      <w:r>
        <w:rPr>
          <w:rFonts w:ascii="宋体" w:hAnsi="宋体" w:cs="宋体" w:hint="eastAsia"/>
          <w:lang w:eastAsia="zh-CN"/>
        </w:rPr>
        <w:t>有电路集成，为保障仪器运行的稳定性和运</w:t>
      </w:r>
      <w:proofErr w:type="gramStart"/>
      <w:r>
        <w:rPr>
          <w:rFonts w:ascii="宋体" w:hAnsi="宋体" w:cs="宋体" w:hint="eastAsia"/>
          <w:lang w:eastAsia="zh-CN"/>
        </w:rPr>
        <w:t>维人员</w:t>
      </w:r>
      <w:proofErr w:type="gramEnd"/>
      <w:r>
        <w:rPr>
          <w:rFonts w:ascii="宋体" w:hAnsi="宋体" w:cs="宋体" w:hint="eastAsia"/>
          <w:lang w:eastAsia="zh-CN"/>
        </w:rPr>
        <w:t>操作的安全性，所采用的注射泵需取得UL安全认证（须提供取得UL认证的证明材料）。</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lastRenderedPageBreak/>
        <w:t>7、具有异常信息记录、上传功能，如零部件故障、超量程报警、超标报警、缺试剂报警等信息；</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8、具有仪器状态(如测量、空闲、故障等)显示：仪器具备基本参数贮存，断电、断水自动保护以及来电、来水自动恢复、定期自动清洗、定期自动校准功能。</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★9、为保证自动监测系统在户外复杂电磁环境下稳定工作，避免因间接雷击、静电干扰、供电不稳、电压突变等电磁干扰造成无法正常工作或设备损坏，一体化微型水质自动监测站的电磁兼容性能需符合GB/T 17626《电磁兼容 试验和测量技术》标准要求，需提供具有CMA和CNAS实验室资质的检验机构出具的电磁兼容检测报告。</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10、具有RS-232或RS-485标准通讯接口；</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11、具备1小时1次的监测能力。</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12、废液按规范集中收集储存并委托有资质的单位按规定处置，不对环境产生二次污染。</w:t>
      </w:r>
    </w:p>
    <w:p w:rsidR="00851D42" w:rsidRDefault="00851D42" w:rsidP="00851D42">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2.2.2水质自动监测模块分析方法要求</w:t>
      </w:r>
    </w:p>
    <w:p w:rsidR="00851D42" w:rsidRDefault="00851D42" w:rsidP="00851D42">
      <w:pPr>
        <w:spacing w:line="360" w:lineRule="auto"/>
        <w:jc w:val="center"/>
        <w:rPr>
          <w:rFonts w:ascii="宋体" w:hAnsi="宋体" w:cs="宋体"/>
          <w:sz w:val="21"/>
          <w:szCs w:val="21"/>
          <w:lang w:eastAsia="zh-CN"/>
        </w:rPr>
      </w:pPr>
      <w:r>
        <w:rPr>
          <w:rFonts w:ascii="宋体" w:hAnsi="宋体" w:cs="宋体" w:hint="eastAsia"/>
          <w:sz w:val="21"/>
          <w:szCs w:val="21"/>
          <w:lang w:eastAsia="zh-CN"/>
        </w:rPr>
        <w:t>表3 水质自动监测模块指标分析方法</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19"/>
        <w:gridCol w:w="3658"/>
        <w:gridCol w:w="3666"/>
      </w:tblGrid>
      <w:tr w:rsidR="00851D42" w:rsidTr="005319BE">
        <w:trPr>
          <w:trHeight w:val="489"/>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序号</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项目</w:t>
            </w:r>
          </w:p>
        </w:tc>
        <w:tc>
          <w:tcPr>
            <w:tcW w:w="365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方法</w:t>
            </w:r>
          </w:p>
        </w:tc>
        <w:tc>
          <w:tcPr>
            <w:tcW w:w="3666"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参照标准</w:t>
            </w:r>
          </w:p>
        </w:tc>
      </w:tr>
      <w:tr w:rsidR="00851D42" w:rsidTr="005319BE">
        <w:trPr>
          <w:trHeight w:val="489"/>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pH</w:t>
            </w:r>
          </w:p>
        </w:tc>
        <w:tc>
          <w:tcPr>
            <w:tcW w:w="365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玻璃电极法</w:t>
            </w:r>
          </w:p>
        </w:tc>
        <w:tc>
          <w:tcPr>
            <w:tcW w:w="3666"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GB 6920－86和HJ/T96-2003</w:t>
            </w:r>
          </w:p>
        </w:tc>
      </w:tr>
      <w:tr w:rsidR="00851D42" w:rsidTr="005319BE">
        <w:trPr>
          <w:trHeight w:val="489"/>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2</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水温</w:t>
            </w:r>
          </w:p>
        </w:tc>
        <w:tc>
          <w:tcPr>
            <w:tcW w:w="365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热电阻法</w:t>
            </w:r>
          </w:p>
        </w:tc>
        <w:tc>
          <w:tcPr>
            <w:tcW w:w="3666"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GB 13195-91</w:t>
            </w:r>
          </w:p>
        </w:tc>
      </w:tr>
      <w:tr w:rsidR="00851D42" w:rsidTr="005319BE">
        <w:trPr>
          <w:trHeight w:val="489"/>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3</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溶解氧</w:t>
            </w:r>
          </w:p>
        </w:tc>
        <w:tc>
          <w:tcPr>
            <w:tcW w:w="365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荧光法</w:t>
            </w:r>
          </w:p>
        </w:tc>
        <w:tc>
          <w:tcPr>
            <w:tcW w:w="3666"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GB/T11913-1989和HJ/T 99－2003</w:t>
            </w:r>
          </w:p>
        </w:tc>
      </w:tr>
      <w:tr w:rsidR="00851D42" w:rsidTr="005319BE">
        <w:trPr>
          <w:trHeight w:val="303"/>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4</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电导率</w:t>
            </w:r>
          </w:p>
        </w:tc>
        <w:tc>
          <w:tcPr>
            <w:tcW w:w="365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电极法</w:t>
            </w:r>
          </w:p>
        </w:tc>
        <w:tc>
          <w:tcPr>
            <w:tcW w:w="3666"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HJ/T 97-2003</w:t>
            </w:r>
          </w:p>
        </w:tc>
      </w:tr>
      <w:tr w:rsidR="00851D42" w:rsidTr="005319BE">
        <w:trPr>
          <w:trHeight w:val="489"/>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5</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浊度</w:t>
            </w:r>
          </w:p>
        </w:tc>
        <w:tc>
          <w:tcPr>
            <w:tcW w:w="365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光散射法</w:t>
            </w:r>
          </w:p>
        </w:tc>
        <w:tc>
          <w:tcPr>
            <w:tcW w:w="3666"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GB 13200-91和HJ/T 98－2003</w:t>
            </w:r>
          </w:p>
        </w:tc>
      </w:tr>
      <w:tr w:rsidR="00851D42" w:rsidTr="005319BE">
        <w:trPr>
          <w:trHeight w:val="657"/>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6</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氨氮</w:t>
            </w:r>
          </w:p>
        </w:tc>
        <w:tc>
          <w:tcPr>
            <w:tcW w:w="365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水杨酸分光光度法</w:t>
            </w:r>
          </w:p>
        </w:tc>
        <w:tc>
          <w:tcPr>
            <w:tcW w:w="3666" w:type="dxa"/>
            <w:vAlign w:val="center"/>
          </w:tcPr>
          <w:p w:rsidR="00851D42" w:rsidRDefault="00851D42" w:rsidP="005319BE">
            <w:pPr>
              <w:spacing w:line="360" w:lineRule="auto"/>
              <w:rPr>
                <w:rFonts w:ascii="宋体" w:hAnsi="宋体" w:cs="宋体"/>
                <w:sz w:val="21"/>
                <w:szCs w:val="21"/>
                <w:lang w:eastAsia="zh-CN"/>
              </w:rPr>
            </w:pPr>
            <w:r>
              <w:rPr>
                <w:rFonts w:ascii="宋体" w:hAnsi="宋体" w:cs="宋体" w:hint="eastAsia"/>
                <w:sz w:val="21"/>
                <w:szCs w:val="21"/>
                <w:lang w:eastAsia="zh-CN"/>
              </w:rPr>
              <w:t>《水和废水监测分析方法》第四版和HJ/T 101-2003</w:t>
            </w:r>
          </w:p>
        </w:tc>
      </w:tr>
      <w:tr w:rsidR="00851D42" w:rsidTr="005319BE">
        <w:trPr>
          <w:trHeight w:val="489"/>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7</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总磷</w:t>
            </w:r>
          </w:p>
        </w:tc>
        <w:tc>
          <w:tcPr>
            <w:tcW w:w="365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钼酸铵分光光度法</w:t>
            </w:r>
          </w:p>
        </w:tc>
        <w:tc>
          <w:tcPr>
            <w:tcW w:w="3666"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GB 11893-89和HJ/T 103－2003</w:t>
            </w:r>
          </w:p>
        </w:tc>
      </w:tr>
      <w:tr w:rsidR="00851D42" w:rsidTr="005319BE">
        <w:trPr>
          <w:trHeight w:val="649"/>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8</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总氮</w:t>
            </w:r>
          </w:p>
        </w:tc>
        <w:tc>
          <w:tcPr>
            <w:tcW w:w="3658" w:type="dxa"/>
            <w:vAlign w:val="center"/>
          </w:tcPr>
          <w:p w:rsidR="00851D42" w:rsidRDefault="00851D42" w:rsidP="005319BE">
            <w:pPr>
              <w:spacing w:line="360" w:lineRule="auto"/>
              <w:rPr>
                <w:rFonts w:ascii="宋体" w:hAnsi="宋体" w:cs="宋体"/>
                <w:sz w:val="21"/>
                <w:szCs w:val="21"/>
                <w:lang w:eastAsia="zh-CN"/>
              </w:rPr>
            </w:pPr>
            <w:r>
              <w:rPr>
                <w:rFonts w:ascii="宋体" w:hAnsi="宋体" w:cs="宋体" w:hint="eastAsia"/>
                <w:sz w:val="21"/>
                <w:szCs w:val="21"/>
                <w:lang w:eastAsia="zh-CN"/>
              </w:rPr>
              <w:t xml:space="preserve">碱性过硫酸钾消解+紫外分光光度法 </w:t>
            </w:r>
          </w:p>
        </w:tc>
        <w:tc>
          <w:tcPr>
            <w:tcW w:w="3666"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GB 11894-89和HJ/T 102-2003</w:t>
            </w:r>
          </w:p>
        </w:tc>
      </w:tr>
      <w:tr w:rsidR="00851D42" w:rsidTr="005319BE">
        <w:trPr>
          <w:trHeight w:val="649"/>
          <w:jc w:val="center"/>
        </w:trPr>
        <w:tc>
          <w:tcPr>
            <w:tcW w:w="704"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9</w:t>
            </w:r>
          </w:p>
        </w:tc>
        <w:tc>
          <w:tcPr>
            <w:tcW w:w="131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化学需氧量</w:t>
            </w:r>
          </w:p>
        </w:tc>
        <w:tc>
          <w:tcPr>
            <w:tcW w:w="365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重铬酸盐法</w:t>
            </w:r>
          </w:p>
        </w:tc>
        <w:tc>
          <w:tcPr>
            <w:tcW w:w="3666"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HJ 828-2017和HJ/T 377-2007</w:t>
            </w:r>
          </w:p>
        </w:tc>
      </w:tr>
    </w:tbl>
    <w:p w:rsidR="00851D42" w:rsidRDefault="00851D42" w:rsidP="00851D42">
      <w:pPr>
        <w:spacing w:line="360" w:lineRule="auto"/>
        <w:rPr>
          <w:rFonts w:ascii="宋体" w:hAnsi="宋体" w:cs="宋体"/>
          <w:sz w:val="21"/>
          <w:szCs w:val="21"/>
        </w:rPr>
      </w:pPr>
    </w:p>
    <w:p w:rsidR="00851D42" w:rsidRDefault="00851D42" w:rsidP="00851D42">
      <w:pPr>
        <w:keepNext/>
        <w:spacing w:line="360" w:lineRule="auto"/>
        <w:outlineLvl w:val="2"/>
        <w:rPr>
          <w:rFonts w:ascii="宋体" w:hAnsi="宋体" w:cs="宋体"/>
          <w:b/>
          <w:bCs/>
          <w:kern w:val="2"/>
          <w:sz w:val="26"/>
          <w:szCs w:val="26"/>
          <w:lang w:eastAsia="zh-CN" w:bidi="ar-SA"/>
        </w:rPr>
      </w:pPr>
      <w:bookmarkStart w:id="0" w:name="_Toc5098290"/>
      <w:bookmarkStart w:id="1" w:name="_Toc525629045"/>
      <w:bookmarkStart w:id="2" w:name="_Toc531563321"/>
      <w:bookmarkStart w:id="3" w:name="_Toc3971720"/>
      <w:r>
        <w:rPr>
          <w:rFonts w:ascii="宋体" w:hAnsi="宋体" w:cs="宋体" w:hint="eastAsia"/>
          <w:b/>
          <w:bCs/>
          <w:kern w:val="2"/>
          <w:sz w:val="26"/>
          <w:szCs w:val="26"/>
          <w:lang w:eastAsia="zh-CN" w:bidi="ar-SA"/>
        </w:rPr>
        <w:lastRenderedPageBreak/>
        <w:t>2.2.3</w:t>
      </w:r>
      <w:bookmarkEnd w:id="0"/>
      <w:bookmarkEnd w:id="1"/>
      <w:bookmarkEnd w:id="2"/>
      <w:bookmarkEnd w:id="3"/>
      <w:r>
        <w:rPr>
          <w:rFonts w:ascii="宋体" w:hAnsi="宋体" w:cs="宋体" w:hint="eastAsia"/>
          <w:b/>
          <w:bCs/>
          <w:kern w:val="2"/>
          <w:sz w:val="26"/>
          <w:szCs w:val="26"/>
          <w:lang w:eastAsia="zh-CN" w:bidi="ar-SA"/>
        </w:rPr>
        <w:t>微型站水质指标检测技术参数要求</w:t>
      </w:r>
    </w:p>
    <w:p w:rsidR="00851D42" w:rsidRDefault="00851D42" w:rsidP="00851D42">
      <w:pPr>
        <w:spacing w:line="360" w:lineRule="auto"/>
        <w:jc w:val="center"/>
        <w:rPr>
          <w:rFonts w:ascii="宋体" w:hAnsi="宋体" w:cs="宋体"/>
          <w:b/>
          <w:sz w:val="21"/>
          <w:szCs w:val="21"/>
        </w:rPr>
      </w:pPr>
      <w:r>
        <w:rPr>
          <w:rFonts w:ascii="宋体" w:hAnsi="宋体" w:cs="宋体" w:hint="eastAsia"/>
          <w:b/>
          <w:sz w:val="21"/>
          <w:szCs w:val="21"/>
        </w:rPr>
        <w:t>表4-1 水温技术指标要求</w:t>
      </w:r>
    </w:p>
    <w:tbl>
      <w:tblPr>
        <w:tblW w:w="7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4981"/>
      </w:tblGrid>
      <w:tr w:rsidR="00851D42" w:rsidTr="005319BE">
        <w:trPr>
          <w:trHeight w:val="567"/>
          <w:jc w:val="center"/>
        </w:trPr>
        <w:tc>
          <w:tcPr>
            <w:tcW w:w="2587" w:type="dxa"/>
            <w:tcBorders>
              <w:tl2br w:val="nil"/>
              <w:tr2bl w:val="nil"/>
            </w:tcBorders>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项目</w:t>
            </w:r>
          </w:p>
        </w:tc>
        <w:tc>
          <w:tcPr>
            <w:tcW w:w="4981" w:type="dxa"/>
            <w:tcBorders>
              <w:tl2br w:val="nil"/>
              <w:tr2bl w:val="nil"/>
            </w:tcBorders>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技术指标</w:t>
            </w:r>
          </w:p>
        </w:tc>
      </w:tr>
      <w:tr w:rsidR="00851D42" w:rsidTr="005319BE">
        <w:trPr>
          <w:trHeight w:val="567"/>
          <w:jc w:val="center"/>
        </w:trPr>
        <w:tc>
          <w:tcPr>
            <w:tcW w:w="2587"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测定原理</w:t>
            </w:r>
          </w:p>
        </w:tc>
        <w:tc>
          <w:tcPr>
            <w:tcW w:w="4981"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电阻法</w:t>
            </w:r>
          </w:p>
        </w:tc>
      </w:tr>
      <w:tr w:rsidR="00851D42" w:rsidTr="005319BE">
        <w:trPr>
          <w:trHeight w:val="567"/>
          <w:jc w:val="center"/>
        </w:trPr>
        <w:tc>
          <w:tcPr>
            <w:tcW w:w="2587"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量程</w:t>
            </w:r>
          </w:p>
        </w:tc>
        <w:tc>
          <w:tcPr>
            <w:tcW w:w="4981"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-5℃～50 ℃可调可拓展</w:t>
            </w:r>
          </w:p>
        </w:tc>
      </w:tr>
      <w:tr w:rsidR="00851D42" w:rsidTr="005319BE">
        <w:trPr>
          <w:trHeight w:val="567"/>
          <w:jc w:val="center"/>
        </w:trPr>
        <w:tc>
          <w:tcPr>
            <w:tcW w:w="2587"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示值误差（准确度）</w:t>
            </w:r>
          </w:p>
        </w:tc>
        <w:tc>
          <w:tcPr>
            <w:tcW w:w="4981"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±0.5℃</w:t>
            </w:r>
          </w:p>
        </w:tc>
      </w:tr>
      <w:tr w:rsidR="00851D42" w:rsidTr="005319BE">
        <w:trPr>
          <w:trHeight w:val="567"/>
          <w:jc w:val="center"/>
        </w:trPr>
        <w:tc>
          <w:tcPr>
            <w:tcW w:w="2587"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MTBF</w:t>
            </w:r>
          </w:p>
        </w:tc>
        <w:tc>
          <w:tcPr>
            <w:tcW w:w="4981"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≥720 h/次</w:t>
            </w:r>
          </w:p>
        </w:tc>
      </w:tr>
    </w:tbl>
    <w:p w:rsidR="00851D42" w:rsidRDefault="00851D42" w:rsidP="00851D42">
      <w:pPr>
        <w:spacing w:line="360" w:lineRule="auto"/>
        <w:jc w:val="center"/>
        <w:rPr>
          <w:rFonts w:ascii="宋体" w:hAnsi="宋体" w:cs="宋体"/>
          <w:b/>
          <w:sz w:val="21"/>
          <w:szCs w:val="21"/>
        </w:rPr>
      </w:pPr>
      <w:r>
        <w:rPr>
          <w:rFonts w:ascii="宋体" w:hAnsi="宋体" w:cs="宋体" w:hint="eastAsia"/>
          <w:b/>
          <w:sz w:val="21"/>
          <w:szCs w:val="21"/>
        </w:rPr>
        <w:t>表4-</w:t>
      </w:r>
      <w:proofErr w:type="gramStart"/>
      <w:r>
        <w:rPr>
          <w:rFonts w:ascii="宋体" w:hAnsi="宋体" w:cs="宋体" w:hint="eastAsia"/>
          <w:b/>
          <w:sz w:val="21"/>
          <w:szCs w:val="21"/>
        </w:rPr>
        <w:t>2  pH技术指标要求</w:t>
      </w:r>
      <w:proofErr w:type="gramEnd"/>
    </w:p>
    <w:tbl>
      <w:tblPr>
        <w:tblW w:w="7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5197"/>
      </w:tblGrid>
      <w:tr w:rsidR="00851D42" w:rsidTr="005319BE">
        <w:trPr>
          <w:trHeight w:val="567"/>
          <w:jc w:val="center"/>
        </w:trPr>
        <w:tc>
          <w:tcPr>
            <w:tcW w:w="2467"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项目</w:t>
            </w:r>
          </w:p>
        </w:tc>
        <w:tc>
          <w:tcPr>
            <w:tcW w:w="5197"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技术指标</w:t>
            </w:r>
          </w:p>
        </w:tc>
      </w:tr>
      <w:tr w:rsidR="00851D42" w:rsidTr="005319BE">
        <w:trPr>
          <w:trHeight w:val="567"/>
          <w:jc w:val="center"/>
        </w:trPr>
        <w:tc>
          <w:tcPr>
            <w:tcW w:w="24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测定原理</w:t>
            </w:r>
          </w:p>
        </w:tc>
        <w:tc>
          <w:tcPr>
            <w:tcW w:w="519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玻璃电极法</w:t>
            </w:r>
          </w:p>
        </w:tc>
      </w:tr>
      <w:tr w:rsidR="00851D42" w:rsidTr="005319BE">
        <w:trPr>
          <w:trHeight w:val="567"/>
          <w:jc w:val="center"/>
        </w:trPr>
        <w:tc>
          <w:tcPr>
            <w:tcW w:w="24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测量范围</w:t>
            </w:r>
          </w:p>
        </w:tc>
        <w:tc>
          <w:tcPr>
            <w:tcW w:w="519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0~14</w:t>
            </w:r>
          </w:p>
        </w:tc>
      </w:tr>
      <w:tr w:rsidR="00851D42" w:rsidTr="005319BE">
        <w:trPr>
          <w:trHeight w:val="567"/>
          <w:jc w:val="center"/>
        </w:trPr>
        <w:tc>
          <w:tcPr>
            <w:tcW w:w="24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重复性</w:t>
            </w:r>
          </w:p>
        </w:tc>
        <w:tc>
          <w:tcPr>
            <w:tcW w:w="519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±0.1 pH以内</w:t>
            </w:r>
          </w:p>
        </w:tc>
      </w:tr>
      <w:tr w:rsidR="00851D42" w:rsidTr="005319BE">
        <w:trPr>
          <w:trHeight w:val="567"/>
          <w:jc w:val="center"/>
        </w:trPr>
        <w:tc>
          <w:tcPr>
            <w:tcW w:w="24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漂移（pH=4、7、9）</w:t>
            </w:r>
          </w:p>
        </w:tc>
        <w:tc>
          <w:tcPr>
            <w:tcW w:w="519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±0.1 pH以内</w:t>
            </w:r>
          </w:p>
        </w:tc>
      </w:tr>
      <w:tr w:rsidR="00851D42" w:rsidTr="005319BE">
        <w:trPr>
          <w:trHeight w:val="567"/>
          <w:jc w:val="center"/>
        </w:trPr>
        <w:tc>
          <w:tcPr>
            <w:tcW w:w="24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响应时间</w:t>
            </w:r>
          </w:p>
        </w:tc>
        <w:tc>
          <w:tcPr>
            <w:tcW w:w="519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30s以内</w:t>
            </w:r>
          </w:p>
        </w:tc>
      </w:tr>
      <w:tr w:rsidR="00851D42" w:rsidTr="005319BE">
        <w:trPr>
          <w:trHeight w:val="567"/>
          <w:jc w:val="center"/>
        </w:trPr>
        <w:tc>
          <w:tcPr>
            <w:tcW w:w="24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温度补偿精度</w:t>
            </w:r>
          </w:p>
        </w:tc>
        <w:tc>
          <w:tcPr>
            <w:tcW w:w="519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±0.1 pH以内</w:t>
            </w:r>
          </w:p>
        </w:tc>
      </w:tr>
      <w:tr w:rsidR="00851D42" w:rsidTr="005319BE">
        <w:trPr>
          <w:trHeight w:val="567"/>
          <w:jc w:val="center"/>
        </w:trPr>
        <w:tc>
          <w:tcPr>
            <w:tcW w:w="24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MTBF</w:t>
            </w:r>
          </w:p>
        </w:tc>
        <w:tc>
          <w:tcPr>
            <w:tcW w:w="519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≥720h/次</w:t>
            </w:r>
          </w:p>
        </w:tc>
      </w:tr>
      <w:tr w:rsidR="00851D42" w:rsidTr="005319BE">
        <w:trPr>
          <w:trHeight w:val="567"/>
          <w:jc w:val="center"/>
        </w:trPr>
        <w:tc>
          <w:tcPr>
            <w:tcW w:w="24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实际水样比对实验</w:t>
            </w:r>
          </w:p>
        </w:tc>
        <w:tc>
          <w:tcPr>
            <w:tcW w:w="519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±0.1 pH以内</w:t>
            </w:r>
          </w:p>
        </w:tc>
      </w:tr>
    </w:tbl>
    <w:p w:rsidR="00851D42" w:rsidRDefault="00851D42" w:rsidP="00851D42">
      <w:pPr>
        <w:spacing w:line="360" w:lineRule="auto"/>
        <w:jc w:val="center"/>
        <w:rPr>
          <w:rFonts w:ascii="宋体" w:hAnsi="宋体" w:cs="宋体"/>
          <w:b/>
          <w:sz w:val="21"/>
          <w:szCs w:val="21"/>
        </w:rPr>
      </w:pPr>
      <w:r>
        <w:rPr>
          <w:rFonts w:ascii="宋体" w:hAnsi="宋体" w:cs="宋体" w:hint="eastAsia"/>
          <w:b/>
          <w:sz w:val="21"/>
          <w:szCs w:val="21"/>
        </w:rPr>
        <w:t>表4-3 溶解氧技术指标要求</w:t>
      </w:r>
    </w:p>
    <w:tbl>
      <w:tblPr>
        <w:tblW w:w="7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5167"/>
      </w:tblGrid>
      <w:tr w:rsidR="00851D42" w:rsidTr="005319BE">
        <w:trPr>
          <w:trHeight w:val="567"/>
          <w:jc w:val="center"/>
        </w:trPr>
        <w:tc>
          <w:tcPr>
            <w:tcW w:w="2528"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项目</w:t>
            </w:r>
          </w:p>
        </w:tc>
        <w:tc>
          <w:tcPr>
            <w:tcW w:w="5167"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技术指标</w:t>
            </w:r>
          </w:p>
        </w:tc>
      </w:tr>
      <w:tr w:rsidR="00851D42" w:rsidTr="005319BE">
        <w:trPr>
          <w:trHeight w:val="567"/>
          <w:jc w:val="center"/>
        </w:trPr>
        <w:tc>
          <w:tcPr>
            <w:tcW w:w="252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测定原理</w:t>
            </w:r>
          </w:p>
        </w:tc>
        <w:tc>
          <w:tcPr>
            <w:tcW w:w="51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荧光法</w:t>
            </w:r>
          </w:p>
        </w:tc>
      </w:tr>
      <w:tr w:rsidR="00851D42" w:rsidTr="005319BE">
        <w:trPr>
          <w:trHeight w:val="567"/>
          <w:jc w:val="center"/>
        </w:trPr>
        <w:tc>
          <w:tcPr>
            <w:tcW w:w="252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测量范围</w:t>
            </w:r>
          </w:p>
        </w:tc>
        <w:tc>
          <w:tcPr>
            <w:tcW w:w="5167" w:type="dxa"/>
            <w:vAlign w:val="center"/>
          </w:tcPr>
          <w:p w:rsidR="00851D42" w:rsidRDefault="00851D42" w:rsidP="005319BE">
            <w:pPr>
              <w:spacing w:line="360" w:lineRule="auto"/>
              <w:rPr>
                <w:rFonts w:ascii="宋体" w:hAnsi="宋体" w:cs="宋体"/>
                <w:sz w:val="21"/>
                <w:szCs w:val="21"/>
                <w:lang w:eastAsia="zh-CN"/>
              </w:rPr>
            </w:pPr>
            <w:r>
              <w:rPr>
                <w:rFonts w:ascii="宋体" w:hAnsi="宋体" w:cs="宋体" w:hint="eastAsia"/>
                <w:sz w:val="21"/>
                <w:szCs w:val="21"/>
                <w:lang w:eastAsia="zh-CN"/>
              </w:rPr>
              <w:t>0～25 mg/L，可调可拓展</w:t>
            </w:r>
          </w:p>
        </w:tc>
      </w:tr>
      <w:tr w:rsidR="00851D42" w:rsidTr="005319BE">
        <w:trPr>
          <w:trHeight w:val="567"/>
          <w:jc w:val="center"/>
        </w:trPr>
        <w:tc>
          <w:tcPr>
            <w:tcW w:w="252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重复性误差</w:t>
            </w:r>
          </w:p>
        </w:tc>
        <w:tc>
          <w:tcPr>
            <w:tcW w:w="51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±0.3 mg/L</w:t>
            </w:r>
          </w:p>
        </w:tc>
      </w:tr>
      <w:tr w:rsidR="00851D42" w:rsidTr="005319BE">
        <w:trPr>
          <w:trHeight w:val="567"/>
          <w:jc w:val="center"/>
        </w:trPr>
        <w:tc>
          <w:tcPr>
            <w:tcW w:w="252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零点漂移</w:t>
            </w:r>
          </w:p>
        </w:tc>
        <w:tc>
          <w:tcPr>
            <w:tcW w:w="51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±0.3 mg/L</w:t>
            </w:r>
          </w:p>
        </w:tc>
      </w:tr>
      <w:tr w:rsidR="00851D42" w:rsidTr="005319BE">
        <w:trPr>
          <w:trHeight w:val="567"/>
          <w:jc w:val="center"/>
        </w:trPr>
        <w:tc>
          <w:tcPr>
            <w:tcW w:w="252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量程漂移</w:t>
            </w:r>
          </w:p>
        </w:tc>
        <w:tc>
          <w:tcPr>
            <w:tcW w:w="51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±0.3 mg/L</w:t>
            </w:r>
          </w:p>
        </w:tc>
      </w:tr>
      <w:tr w:rsidR="00851D42" w:rsidTr="005319BE">
        <w:trPr>
          <w:trHeight w:val="567"/>
          <w:jc w:val="center"/>
        </w:trPr>
        <w:tc>
          <w:tcPr>
            <w:tcW w:w="252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lastRenderedPageBreak/>
              <w:t>响应时间</w:t>
            </w:r>
          </w:p>
        </w:tc>
        <w:tc>
          <w:tcPr>
            <w:tcW w:w="51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2min以内</w:t>
            </w:r>
          </w:p>
        </w:tc>
      </w:tr>
      <w:tr w:rsidR="00851D42" w:rsidTr="005319BE">
        <w:trPr>
          <w:trHeight w:val="567"/>
          <w:jc w:val="center"/>
        </w:trPr>
        <w:tc>
          <w:tcPr>
            <w:tcW w:w="252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温度补偿精度</w:t>
            </w:r>
          </w:p>
        </w:tc>
        <w:tc>
          <w:tcPr>
            <w:tcW w:w="51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±0.3 mg/L</w:t>
            </w:r>
          </w:p>
        </w:tc>
      </w:tr>
      <w:tr w:rsidR="00851D42" w:rsidTr="005319BE">
        <w:trPr>
          <w:trHeight w:val="567"/>
          <w:jc w:val="center"/>
        </w:trPr>
        <w:tc>
          <w:tcPr>
            <w:tcW w:w="252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MTBF</w:t>
            </w:r>
          </w:p>
        </w:tc>
        <w:tc>
          <w:tcPr>
            <w:tcW w:w="51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≥720h/次</w:t>
            </w:r>
          </w:p>
        </w:tc>
      </w:tr>
      <w:tr w:rsidR="00851D42" w:rsidTr="005319BE">
        <w:trPr>
          <w:trHeight w:val="567"/>
          <w:jc w:val="center"/>
        </w:trPr>
        <w:tc>
          <w:tcPr>
            <w:tcW w:w="2528"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实际水样比对实验</w:t>
            </w:r>
          </w:p>
        </w:tc>
        <w:tc>
          <w:tcPr>
            <w:tcW w:w="516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±0.3 mg/L</w:t>
            </w:r>
          </w:p>
        </w:tc>
      </w:tr>
    </w:tbl>
    <w:p w:rsidR="00851D42" w:rsidRDefault="00851D42" w:rsidP="00851D42">
      <w:pPr>
        <w:spacing w:line="360" w:lineRule="auto"/>
        <w:jc w:val="center"/>
        <w:rPr>
          <w:rFonts w:ascii="宋体" w:hAnsi="宋体" w:cs="宋体"/>
          <w:b/>
          <w:sz w:val="21"/>
          <w:szCs w:val="21"/>
        </w:rPr>
      </w:pPr>
      <w:r>
        <w:rPr>
          <w:rFonts w:ascii="宋体" w:hAnsi="宋体" w:cs="宋体" w:hint="eastAsia"/>
          <w:b/>
          <w:sz w:val="21"/>
          <w:szCs w:val="21"/>
        </w:rPr>
        <w:t>表4-4 电导率技术指标要求</w:t>
      </w:r>
    </w:p>
    <w:tbl>
      <w:tblPr>
        <w:tblW w:w="7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189"/>
      </w:tblGrid>
      <w:tr w:rsidR="00851D42" w:rsidTr="005319BE">
        <w:trPr>
          <w:trHeight w:val="567"/>
          <w:jc w:val="center"/>
        </w:trPr>
        <w:tc>
          <w:tcPr>
            <w:tcW w:w="2520"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项目</w:t>
            </w:r>
          </w:p>
        </w:tc>
        <w:tc>
          <w:tcPr>
            <w:tcW w:w="5189"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技术指标</w:t>
            </w:r>
          </w:p>
        </w:tc>
      </w:tr>
      <w:tr w:rsidR="00851D42" w:rsidTr="005319BE">
        <w:trPr>
          <w:trHeight w:val="567"/>
          <w:jc w:val="center"/>
        </w:trPr>
        <w:tc>
          <w:tcPr>
            <w:tcW w:w="252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测定原理</w:t>
            </w:r>
          </w:p>
        </w:tc>
        <w:tc>
          <w:tcPr>
            <w:tcW w:w="518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电极法</w:t>
            </w:r>
          </w:p>
        </w:tc>
      </w:tr>
      <w:tr w:rsidR="00851D42" w:rsidTr="005319BE">
        <w:trPr>
          <w:trHeight w:val="567"/>
          <w:jc w:val="center"/>
        </w:trPr>
        <w:tc>
          <w:tcPr>
            <w:tcW w:w="252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测量范围</w:t>
            </w:r>
          </w:p>
        </w:tc>
        <w:tc>
          <w:tcPr>
            <w:tcW w:w="518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0～500 mS/m，可调可拓展</w:t>
            </w:r>
          </w:p>
        </w:tc>
      </w:tr>
      <w:tr w:rsidR="00851D42" w:rsidTr="005319BE">
        <w:trPr>
          <w:trHeight w:val="567"/>
          <w:jc w:val="center"/>
        </w:trPr>
        <w:tc>
          <w:tcPr>
            <w:tcW w:w="252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重复性误差</w:t>
            </w:r>
          </w:p>
        </w:tc>
        <w:tc>
          <w:tcPr>
            <w:tcW w:w="518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w:t>
            </w:r>
          </w:p>
        </w:tc>
      </w:tr>
      <w:tr w:rsidR="00851D42" w:rsidTr="005319BE">
        <w:trPr>
          <w:trHeight w:val="567"/>
          <w:jc w:val="center"/>
        </w:trPr>
        <w:tc>
          <w:tcPr>
            <w:tcW w:w="252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零点漂移</w:t>
            </w:r>
          </w:p>
        </w:tc>
        <w:tc>
          <w:tcPr>
            <w:tcW w:w="518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w:t>
            </w:r>
          </w:p>
        </w:tc>
      </w:tr>
      <w:tr w:rsidR="00851D42" w:rsidTr="005319BE">
        <w:trPr>
          <w:trHeight w:val="567"/>
          <w:jc w:val="center"/>
        </w:trPr>
        <w:tc>
          <w:tcPr>
            <w:tcW w:w="252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量程漂移</w:t>
            </w:r>
          </w:p>
        </w:tc>
        <w:tc>
          <w:tcPr>
            <w:tcW w:w="518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w:t>
            </w:r>
          </w:p>
        </w:tc>
      </w:tr>
      <w:tr w:rsidR="00851D42" w:rsidTr="005319BE">
        <w:trPr>
          <w:trHeight w:val="567"/>
          <w:jc w:val="center"/>
        </w:trPr>
        <w:tc>
          <w:tcPr>
            <w:tcW w:w="252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响应时间</w:t>
            </w:r>
          </w:p>
        </w:tc>
        <w:tc>
          <w:tcPr>
            <w:tcW w:w="518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30s以内</w:t>
            </w:r>
          </w:p>
        </w:tc>
      </w:tr>
      <w:tr w:rsidR="00851D42" w:rsidTr="005319BE">
        <w:trPr>
          <w:trHeight w:val="567"/>
          <w:jc w:val="center"/>
        </w:trPr>
        <w:tc>
          <w:tcPr>
            <w:tcW w:w="252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温度补偿精度</w:t>
            </w:r>
          </w:p>
        </w:tc>
        <w:tc>
          <w:tcPr>
            <w:tcW w:w="518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w:t>
            </w:r>
          </w:p>
        </w:tc>
      </w:tr>
      <w:tr w:rsidR="00851D42" w:rsidTr="005319BE">
        <w:trPr>
          <w:trHeight w:val="567"/>
          <w:jc w:val="center"/>
        </w:trPr>
        <w:tc>
          <w:tcPr>
            <w:tcW w:w="252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MTBF</w:t>
            </w:r>
          </w:p>
        </w:tc>
        <w:tc>
          <w:tcPr>
            <w:tcW w:w="518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≥720h/次</w:t>
            </w:r>
          </w:p>
        </w:tc>
      </w:tr>
      <w:tr w:rsidR="00851D42" w:rsidTr="005319BE">
        <w:trPr>
          <w:trHeight w:val="567"/>
          <w:jc w:val="center"/>
        </w:trPr>
        <w:tc>
          <w:tcPr>
            <w:tcW w:w="252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实际水样比对实验</w:t>
            </w:r>
          </w:p>
        </w:tc>
        <w:tc>
          <w:tcPr>
            <w:tcW w:w="5189"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w:t>
            </w:r>
          </w:p>
        </w:tc>
      </w:tr>
    </w:tbl>
    <w:p w:rsidR="00851D42" w:rsidRDefault="00851D42" w:rsidP="00851D42">
      <w:pPr>
        <w:spacing w:line="360" w:lineRule="auto"/>
        <w:jc w:val="center"/>
        <w:rPr>
          <w:rFonts w:ascii="宋体" w:hAnsi="宋体" w:cs="宋体"/>
          <w:b/>
          <w:sz w:val="21"/>
          <w:szCs w:val="21"/>
        </w:rPr>
      </w:pPr>
      <w:r>
        <w:rPr>
          <w:rFonts w:ascii="宋体" w:hAnsi="宋体" w:cs="宋体" w:hint="eastAsia"/>
          <w:b/>
          <w:sz w:val="21"/>
          <w:szCs w:val="21"/>
        </w:rPr>
        <w:t>表4-5 浊度技术指标要求</w:t>
      </w:r>
    </w:p>
    <w:tbl>
      <w:tblPr>
        <w:tblW w:w="7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7"/>
        <w:gridCol w:w="5183"/>
      </w:tblGrid>
      <w:tr w:rsidR="00851D42" w:rsidTr="005319BE">
        <w:trPr>
          <w:trHeight w:val="567"/>
          <w:jc w:val="center"/>
        </w:trPr>
        <w:tc>
          <w:tcPr>
            <w:tcW w:w="2527"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项目</w:t>
            </w:r>
          </w:p>
        </w:tc>
        <w:tc>
          <w:tcPr>
            <w:tcW w:w="5183"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技术指标</w:t>
            </w:r>
          </w:p>
        </w:tc>
      </w:tr>
      <w:tr w:rsidR="00851D42" w:rsidTr="005319BE">
        <w:trPr>
          <w:trHeight w:val="567"/>
          <w:jc w:val="center"/>
        </w:trPr>
        <w:tc>
          <w:tcPr>
            <w:tcW w:w="252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测定原理</w:t>
            </w:r>
          </w:p>
        </w:tc>
        <w:tc>
          <w:tcPr>
            <w:tcW w:w="5183"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光散射法</w:t>
            </w:r>
          </w:p>
        </w:tc>
      </w:tr>
      <w:tr w:rsidR="00851D42" w:rsidTr="005319BE">
        <w:trPr>
          <w:trHeight w:val="567"/>
          <w:jc w:val="center"/>
        </w:trPr>
        <w:tc>
          <w:tcPr>
            <w:tcW w:w="252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测量范围</w:t>
            </w:r>
          </w:p>
        </w:tc>
        <w:tc>
          <w:tcPr>
            <w:tcW w:w="5183" w:type="dxa"/>
            <w:vAlign w:val="center"/>
          </w:tcPr>
          <w:p w:rsidR="00851D42" w:rsidRDefault="00851D42" w:rsidP="005319BE">
            <w:pPr>
              <w:spacing w:line="360" w:lineRule="auto"/>
              <w:rPr>
                <w:rFonts w:ascii="宋体" w:hAnsi="宋体" w:cs="宋体"/>
                <w:b/>
                <w:sz w:val="21"/>
                <w:szCs w:val="21"/>
                <w:lang w:eastAsia="zh-CN"/>
              </w:rPr>
            </w:pPr>
            <w:r>
              <w:rPr>
                <w:rFonts w:ascii="宋体" w:hAnsi="宋体" w:cs="宋体" w:hint="eastAsia"/>
                <w:sz w:val="21"/>
                <w:szCs w:val="21"/>
                <w:lang w:eastAsia="zh-CN"/>
              </w:rPr>
              <w:t>0～1000 NTU，可调可拓展</w:t>
            </w:r>
          </w:p>
        </w:tc>
      </w:tr>
      <w:tr w:rsidR="00851D42" w:rsidTr="005319BE">
        <w:trPr>
          <w:trHeight w:val="567"/>
          <w:jc w:val="center"/>
        </w:trPr>
        <w:tc>
          <w:tcPr>
            <w:tcW w:w="252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重复性误差</w:t>
            </w:r>
          </w:p>
        </w:tc>
        <w:tc>
          <w:tcPr>
            <w:tcW w:w="5183"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±5%</w:t>
            </w:r>
          </w:p>
        </w:tc>
      </w:tr>
      <w:tr w:rsidR="00851D42" w:rsidTr="005319BE">
        <w:trPr>
          <w:trHeight w:val="567"/>
          <w:jc w:val="center"/>
        </w:trPr>
        <w:tc>
          <w:tcPr>
            <w:tcW w:w="252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零点漂移</w:t>
            </w:r>
          </w:p>
        </w:tc>
        <w:tc>
          <w:tcPr>
            <w:tcW w:w="5183"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±3%</w:t>
            </w:r>
          </w:p>
        </w:tc>
      </w:tr>
      <w:tr w:rsidR="00851D42" w:rsidTr="005319BE">
        <w:trPr>
          <w:trHeight w:val="567"/>
          <w:jc w:val="center"/>
        </w:trPr>
        <w:tc>
          <w:tcPr>
            <w:tcW w:w="252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量程漂移</w:t>
            </w:r>
          </w:p>
        </w:tc>
        <w:tc>
          <w:tcPr>
            <w:tcW w:w="5183"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±5%</w:t>
            </w:r>
          </w:p>
        </w:tc>
      </w:tr>
      <w:tr w:rsidR="00851D42" w:rsidTr="005319BE">
        <w:trPr>
          <w:trHeight w:val="567"/>
          <w:jc w:val="center"/>
        </w:trPr>
        <w:tc>
          <w:tcPr>
            <w:tcW w:w="252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线性误差</w:t>
            </w:r>
          </w:p>
        </w:tc>
        <w:tc>
          <w:tcPr>
            <w:tcW w:w="5183"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±5%</w:t>
            </w:r>
          </w:p>
        </w:tc>
      </w:tr>
      <w:tr w:rsidR="00851D42" w:rsidTr="005319BE">
        <w:trPr>
          <w:trHeight w:val="567"/>
          <w:jc w:val="center"/>
        </w:trPr>
        <w:tc>
          <w:tcPr>
            <w:tcW w:w="252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MTBF</w:t>
            </w:r>
          </w:p>
        </w:tc>
        <w:tc>
          <w:tcPr>
            <w:tcW w:w="5183"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720h/次</w:t>
            </w:r>
          </w:p>
        </w:tc>
      </w:tr>
      <w:tr w:rsidR="00851D42" w:rsidTr="005319BE">
        <w:trPr>
          <w:trHeight w:val="567"/>
          <w:jc w:val="center"/>
        </w:trPr>
        <w:tc>
          <w:tcPr>
            <w:tcW w:w="2527"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lastRenderedPageBreak/>
              <w:t>实际水样比对实验</w:t>
            </w:r>
          </w:p>
        </w:tc>
        <w:tc>
          <w:tcPr>
            <w:tcW w:w="5183"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bl>
    <w:p w:rsidR="00851D42" w:rsidRDefault="00851D42" w:rsidP="00851D42">
      <w:pPr>
        <w:spacing w:line="360" w:lineRule="auto"/>
        <w:jc w:val="center"/>
        <w:rPr>
          <w:rFonts w:ascii="宋体" w:hAnsi="宋体" w:cs="宋体"/>
          <w:b/>
          <w:sz w:val="21"/>
          <w:szCs w:val="21"/>
          <w:lang w:eastAsia="zh-CN"/>
        </w:rPr>
      </w:pPr>
      <w:r>
        <w:rPr>
          <w:rFonts w:ascii="宋体" w:hAnsi="宋体" w:cs="宋体" w:hint="eastAsia"/>
          <w:b/>
          <w:sz w:val="21"/>
          <w:szCs w:val="21"/>
          <w:lang w:eastAsia="zh-CN"/>
        </w:rPr>
        <w:t>表4-6 氨氮监测模块技术指标要求</w:t>
      </w:r>
    </w:p>
    <w:tbl>
      <w:tblPr>
        <w:tblW w:w="7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008"/>
        <w:gridCol w:w="2210"/>
      </w:tblGrid>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项目</w:t>
            </w:r>
          </w:p>
        </w:tc>
        <w:tc>
          <w:tcPr>
            <w:tcW w:w="5218" w:type="dxa"/>
            <w:gridSpan w:val="2"/>
            <w:tcBorders>
              <w:tl2br w:val="nil"/>
              <w:tr2bl w:val="nil"/>
            </w:tcBorders>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技术指标</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测定原理</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水杨酸分光光度法</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测量范围</w:t>
            </w:r>
          </w:p>
        </w:tc>
        <w:tc>
          <w:tcPr>
            <w:tcW w:w="5218" w:type="dxa"/>
            <w:gridSpan w:val="2"/>
            <w:tcBorders>
              <w:tl2br w:val="nil"/>
              <w:tr2bl w:val="nil"/>
            </w:tcBorders>
            <w:vAlign w:val="center"/>
          </w:tcPr>
          <w:p w:rsidR="00851D42" w:rsidRDefault="00851D42" w:rsidP="005319BE">
            <w:pPr>
              <w:spacing w:line="360" w:lineRule="auto"/>
              <w:rPr>
                <w:rFonts w:ascii="宋体" w:hAnsi="宋体" w:cs="宋体"/>
                <w:b/>
                <w:sz w:val="21"/>
                <w:szCs w:val="21"/>
              </w:rPr>
            </w:pPr>
            <w:r>
              <w:rPr>
                <w:rFonts w:ascii="宋体" w:hAnsi="宋体" w:cs="宋体" w:hint="eastAsia"/>
                <w:sz w:val="21"/>
                <w:szCs w:val="21"/>
              </w:rPr>
              <w:t>0~10mg/L，可调可扩展</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检出限</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≤0.05 mg/L</w:t>
            </w:r>
          </w:p>
        </w:tc>
      </w:tr>
      <w:tr w:rsidR="00851D42" w:rsidTr="005319BE">
        <w:trPr>
          <w:trHeight w:val="567"/>
          <w:jc w:val="center"/>
        </w:trPr>
        <w:tc>
          <w:tcPr>
            <w:tcW w:w="2520" w:type="dxa"/>
            <w:vMerge w:val="restart"/>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示值误差</w:t>
            </w: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标液浓度为2.0 mg/L时</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8.0 %</w:t>
            </w:r>
          </w:p>
        </w:tc>
      </w:tr>
      <w:tr w:rsidR="00851D42" w:rsidTr="005319BE">
        <w:trPr>
          <w:trHeight w:val="567"/>
          <w:jc w:val="center"/>
        </w:trPr>
        <w:tc>
          <w:tcPr>
            <w:tcW w:w="2520" w:type="dxa"/>
            <w:vMerge/>
            <w:tcBorders>
              <w:tl2br w:val="nil"/>
              <w:tr2bl w:val="nil"/>
            </w:tcBorders>
            <w:vAlign w:val="center"/>
          </w:tcPr>
          <w:p w:rsidR="00851D42" w:rsidRDefault="00851D42" w:rsidP="005319BE">
            <w:pPr>
              <w:spacing w:line="360" w:lineRule="auto"/>
              <w:rPr>
                <w:rFonts w:ascii="宋体" w:hAnsi="宋体" w:cs="宋体"/>
                <w:sz w:val="21"/>
                <w:szCs w:val="21"/>
              </w:rPr>
            </w:pP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标液浓度为5.0 mg/L时</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5.0 %</w:t>
            </w:r>
          </w:p>
        </w:tc>
      </w:tr>
      <w:tr w:rsidR="00851D42" w:rsidTr="005319BE">
        <w:trPr>
          <w:trHeight w:val="567"/>
          <w:jc w:val="center"/>
        </w:trPr>
        <w:tc>
          <w:tcPr>
            <w:tcW w:w="2520" w:type="dxa"/>
            <w:vMerge/>
            <w:tcBorders>
              <w:tl2br w:val="nil"/>
              <w:tr2bl w:val="nil"/>
            </w:tcBorders>
            <w:vAlign w:val="center"/>
          </w:tcPr>
          <w:p w:rsidR="00851D42" w:rsidRDefault="00851D42" w:rsidP="005319BE">
            <w:pPr>
              <w:spacing w:line="360" w:lineRule="auto"/>
              <w:rPr>
                <w:rFonts w:ascii="宋体" w:hAnsi="宋体" w:cs="宋体"/>
                <w:sz w:val="21"/>
                <w:szCs w:val="21"/>
              </w:rPr>
            </w:pP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标液浓度为8.0 mg/L时</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3.0 %</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重复性</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≤2.0%</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24h 低浓度漂移</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≤0.02 mg/L</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24h 高浓度漂移</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≤1.0 %</w:t>
            </w:r>
          </w:p>
        </w:tc>
      </w:tr>
      <w:tr w:rsidR="00851D42" w:rsidTr="005319BE">
        <w:trPr>
          <w:trHeight w:val="567"/>
          <w:jc w:val="center"/>
        </w:trPr>
        <w:tc>
          <w:tcPr>
            <w:tcW w:w="2520" w:type="dxa"/>
            <w:vMerge w:val="restart"/>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记忆效应</w:t>
            </w: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8.0 mg/L→2.0 mg/L</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0.3 mg/L</w:t>
            </w:r>
          </w:p>
        </w:tc>
      </w:tr>
      <w:tr w:rsidR="00851D42" w:rsidTr="005319BE">
        <w:trPr>
          <w:trHeight w:val="512"/>
          <w:jc w:val="center"/>
        </w:trPr>
        <w:tc>
          <w:tcPr>
            <w:tcW w:w="2520" w:type="dxa"/>
            <w:vMerge/>
            <w:tcBorders>
              <w:tl2br w:val="nil"/>
              <w:tr2bl w:val="nil"/>
            </w:tcBorders>
            <w:vAlign w:val="center"/>
          </w:tcPr>
          <w:p w:rsidR="00851D42" w:rsidRDefault="00851D42" w:rsidP="005319BE">
            <w:pPr>
              <w:spacing w:line="360" w:lineRule="auto"/>
              <w:rPr>
                <w:rFonts w:ascii="宋体" w:hAnsi="宋体" w:cs="宋体"/>
                <w:sz w:val="21"/>
                <w:szCs w:val="21"/>
              </w:rPr>
            </w:pP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2.0 mg/L →8.0 mg/L</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0.2 mg/L</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pH影响试验</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6.0 %</w:t>
            </w:r>
          </w:p>
        </w:tc>
      </w:tr>
      <w:tr w:rsidR="00851D42" w:rsidTr="005319BE">
        <w:trPr>
          <w:trHeight w:val="567"/>
          <w:jc w:val="center"/>
        </w:trPr>
        <w:tc>
          <w:tcPr>
            <w:tcW w:w="2520" w:type="dxa"/>
            <w:vMerge w:val="restart"/>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实际水样比对试验</w:t>
            </w: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氨氮＜2.00 mg/L</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≤0.2 mg/L</w:t>
            </w:r>
          </w:p>
        </w:tc>
      </w:tr>
      <w:tr w:rsidR="00851D42" w:rsidTr="005319BE">
        <w:trPr>
          <w:trHeight w:val="567"/>
          <w:jc w:val="center"/>
        </w:trPr>
        <w:tc>
          <w:tcPr>
            <w:tcW w:w="2520" w:type="dxa"/>
            <w:vMerge/>
            <w:tcBorders>
              <w:tl2br w:val="nil"/>
              <w:tr2bl w:val="nil"/>
            </w:tcBorders>
            <w:vAlign w:val="center"/>
          </w:tcPr>
          <w:p w:rsidR="00851D42" w:rsidRDefault="00851D42" w:rsidP="005319BE">
            <w:pPr>
              <w:spacing w:line="360" w:lineRule="auto"/>
              <w:rPr>
                <w:rFonts w:ascii="宋体" w:hAnsi="宋体" w:cs="宋体"/>
                <w:sz w:val="21"/>
                <w:szCs w:val="21"/>
              </w:rPr>
            </w:pP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氨氮≥2.00 mg/L</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最小维护周期</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≥168 h/次</w:t>
            </w:r>
          </w:p>
        </w:tc>
      </w:tr>
    </w:tbl>
    <w:p w:rsidR="00851D42" w:rsidRDefault="00851D42" w:rsidP="00851D42">
      <w:pPr>
        <w:spacing w:line="360" w:lineRule="auto"/>
        <w:jc w:val="center"/>
        <w:rPr>
          <w:rFonts w:ascii="宋体" w:hAnsi="宋体" w:cs="宋体"/>
          <w:b/>
          <w:sz w:val="21"/>
          <w:szCs w:val="21"/>
          <w:lang w:eastAsia="zh-CN"/>
        </w:rPr>
      </w:pPr>
      <w:r>
        <w:rPr>
          <w:rFonts w:ascii="宋体" w:hAnsi="宋体" w:cs="宋体" w:hint="eastAsia"/>
          <w:b/>
          <w:sz w:val="21"/>
          <w:szCs w:val="21"/>
          <w:lang w:eastAsia="zh-CN"/>
        </w:rPr>
        <w:t>表4-7总磷监测模块技术指标要求</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5670"/>
      </w:tblGrid>
      <w:tr w:rsidR="00851D42" w:rsidTr="005319BE">
        <w:trPr>
          <w:trHeight w:val="589"/>
          <w:jc w:val="center"/>
        </w:trPr>
        <w:tc>
          <w:tcPr>
            <w:tcW w:w="2122"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项目</w:t>
            </w:r>
          </w:p>
        </w:tc>
        <w:tc>
          <w:tcPr>
            <w:tcW w:w="5670"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技术指标</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sz w:val="21"/>
                <w:szCs w:val="21"/>
              </w:rPr>
              <w:t>测定原理</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钼酸铵分光光度法</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sz w:val="21"/>
                <w:szCs w:val="21"/>
              </w:rPr>
              <w:t>测量范围</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0~50 mg/L，可调可拓展</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检出限</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≤0.01 mg/L</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示值误差</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lang w:eastAsia="zh-CN"/>
              </w:rPr>
              <w:t>5</w:t>
            </w:r>
            <w:r>
              <w:rPr>
                <w:rFonts w:ascii="宋体" w:hAnsi="宋体" w:cs="宋体" w:hint="eastAsia"/>
                <w:sz w:val="21"/>
                <w:szCs w:val="21"/>
              </w:rPr>
              <w:t xml:space="preserve"> %</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重复性误差</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lastRenderedPageBreak/>
              <w:t>零点漂移</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±5%</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量程漂移</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直线型</w:t>
            </w:r>
          </w:p>
        </w:tc>
        <w:tc>
          <w:tcPr>
            <w:tcW w:w="5670" w:type="dxa"/>
            <w:tcBorders>
              <w:bottom w:val="single" w:sz="4" w:space="0" w:color="auto"/>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MTBF</w:t>
            </w:r>
          </w:p>
        </w:tc>
        <w:tc>
          <w:tcPr>
            <w:tcW w:w="5670" w:type="dxa"/>
            <w:tcBorders>
              <w:top w:val="single" w:sz="4" w:space="0" w:color="auto"/>
              <w:bottom w:val="single" w:sz="4" w:space="0" w:color="auto"/>
              <w:right w:val="single" w:sz="4" w:space="0" w:color="auto"/>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≥720h/次</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实际水样比对试验</w:t>
            </w:r>
          </w:p>
        </w:tc>
        <w:tc>
          <w:tcPr>
            <w:tcW w:w="5670" w:type="dxa"/>
            <w:tcBorders>
              <w:top w:val="single" w:sz="4" w:space="0" w:color="auto"/>
              <w:bottom w:val="single" w:sz="4" w:space="0" w:color="auto"/>
              <w:right w:val="single" w:sz="4" w:space="0" w:color="auto"/>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bl>
    <w:p w:rsidR="00851D42" w:rsidRDefault="00851D42" w:rsidP="00851D42">
      <w:pPr>
        <w:spacing w:line="360" w:lineRule="auto"/>
        <w:jc w:val="center"/>
        <w:rPr>
          <w:rFonts w:ascii="宋体" w:hAnsi="宋体" w:cs="宋体"/>
          <w:b/>
          <w:sz w:val="21"/>
          <w:szCs w:val="21"/>
          <w:lang w:eastAsia="zh-CN"/>
        </w:rPr>
      </w:pPr>
      <w:r>
        <w:rPr>
          <w:rFonts w:ascii="宋体" w:hAnsi="宋体" w:cs="宋体" w:hint="eastAsia"/>
          <w:b/>
          <w:sz w:val="21"/>
          <w:szCs w:val="21"/>
          <w:lang w:eastAsia="zh-CN"/>
        </w:rPr>
        <w:t>表4-8总氮监测模块技术指标要求</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5670"/>
      </w:tblGrid>
      <w:tr w:rsidR="00851D42" w:rsidTr="005319BE">
        <w:trPr>
          <w:trHeight w:val="536"/>
          <w:jc w:val="center"/>
        </w:trPr>
        <w:tc>
          <w:tcPr>
            <w:tcW w:w="2122"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项目</w:t>
            </w:r>
          </w:p>
        </w:tc>
        <w:tc>
          <w:tcPr>
            <w:tcW w:w="5670"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技术指标</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sz w:val="21"/>
                <w:szCs w:val="21"/>
              </w:rPr>
              <w:t>测定原理</w:t>
            </w:r>
          </w:p>
        </w:tc>
        <w:tc>
          <w:tcPr>
            <w:tcW w:w="5670" w:type="dxa"/>
            <w:vAlign w:val="center"/>
          </w:tcPr>
          <w:p w:rsidR="00851D42" w:rsidRDefault="00851D42" w:rsidP="005319BE">
            <w:pPr>
              <w:spacing w:line="360" w:lineRule="auto"/>
              <w:rPr>
                <w:rFonts w:ascii="宋体" w:hAnsi="宋体" w:cs="宋体"/>
                <w:sz w:val="21"/>
                <w:szCs w:val="21"/>
                <w:lang w:eastAsia="zh-CN"/>
              </w:rPr>
            </w:pPr>
            <w:r>
              <w:rPr>
                <w:rFonts w:ascii="宋体" w:hAnsi="宋体" w:cs="宋体" w:hint="eastAsia"/>
                <w:sz w:val="21"/>
                <w:szCs w:val="21"/>
                <w:lang w:eastAsia="zh-CN"/>
              </w:rPr>
              <w:t>碱性过硫酸钾-紫外分光光度法</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b/>
                <w:sz w:val="21"/>
                <w:szCs w:val="21"/>
              </w:rPr>
            </w:pPr>
            <w:r>
              <w:rPr>
                <w:rFonts w:ascii="宋体" w:hAnsi="宋体" w:cs="宋体" w:hint="eastAsia"/>
                <w:sz w:val="21"/>
                <w:szCs w:val="21"/>
              </w:rPr>
              <w:t>测量范围</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0~100 mg/L，可调可拓展</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检出限</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≤0.1mg/L</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示值误差</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xml:space="preserve">± </w:t>
            </w:r>
            <w:r>
              <w:rPr>
                <w:rFonts w:ascii="宋体" w:hAnsi="宋体" w:cs="宋体" w:hint="eastAsia"/>
                <w:sz w:val="21"/>
                <w:szCs w:val="21"/>
                <w:lang w:eastAsia="zh-CN"/>
              </w:rPr>
              <w:t>5</w:t>
            </w:r>
            <w:r>
              <w:rPr>
                <w:rFonts w:ascii="宋体" w:hAnsi="宋体" w:cs="宋体" w:hint="eastAsia"/>
                <w:sz w:val="21"/>
                <w:szCs w:val="21"/>
              </w:rPr>
              <w:t xml:space="preserve"> %</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重复性误差</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零点漂移</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±5%</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量程漂移</w:t>
            </w:r>
          </w:p>
        </w:tc>
        <w:tc>
          <w:tcPr>
            <w:tcW w:w="5670"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直线型</w:t>
            </w:r>
          </w:p>
        </w:tc>
        <w:tc>
          <w:tcPr>
            <w:tcW w:w="5670" w:type="dxa"/>
            <w:tcBorders>
              <w:bottom w:val="single" w:sz="4" w:space="0" w:color="auto"/>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MTBF</w:t>
            </w:r>
          </w:p>
        </w:tc>
        <w:tc>
          <w:tcPr>
            <w:tcW w:w="5670" w:type="dxa"/>
            <w:tcBorders>
              <w:top w:val="single" w:sz="4" w:space="0" w:color="auto"/>
              <w:bottom w:val="single" w:sz="4" w:space="0" w:color="auto"/>
              <w:right w:val="single" w:sz="4" w:space="0" w:color="auto"/>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≥720h/次</w:t>
            </w:r>
          </w:p>
        </w:tc>
      </w:tr>
      <w:tr w:rsidR="00851D42" w:rsidTr="005319BE">
        <w:trPr>
          <w:trHeight w:val="512"/>
          <w:jc w:val="center"/>
        </w:trPr>
        <w:tc>
          <w:tcPr>
            <w:tcW w:w="2122" w:type="dxa"/>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实际水样比对试验</w:t>
            </w:r>
          </w:p>
        </w:tc>
        <w:tc>
          <w:tcPr>
            <w:tcW w:w="5670" w:type="dxa"/>
            <w:tcBorders>
              <w:top w:val="single" w:sz="4" w:space="0" w:color="auto"/>
              <w:bottom w:val="single" w:sz="4" w:space="0" w:color="auto"/>
              <w:right w:val="single" w:sz="4" w:space="0" w:color="auto"/>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bl>
    <w:p w:rsidR="00851D42" w:rsidRDefault="00851D42" w:rsidP="00851D42">
      <w:pPr>
        <w:spacing w:line="360" w:lineRule="auto"/>
        <w:jc w:val="center"/>
        <w:rPr>
          <w:rFonts w:ascii="宋体" w:hAnsi="宋体" w:cs="宋体"/>
          <w:b/>
          <w:sz w:val="21"/>
          <w:szCs w:val="21"/>
          <w:lang w:eastAsia="zh-CN"/>
        </w:rPr>
      </w:pPr>
      <w:r>
        <w:rPr>
          <w:rFonts w:ascii="宋体" w:hAnsi="宋体" w:cs="宋体" w:hint="eastAsia"/>
          <w:b/>
          <w:sz w:val="21"/>
          <w:szCs w:val="21"/>
          <w:lang w:eastAsia="zh-CN"/>
        </w:rPr>
        <w:t>表4-9 化学需氧量监测模块技术指标要求</w:t>
      </w:r>
    </w:p>
    <w:tbl>
      <w:tblPr>
        <w:tblW w:w="7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3008"/>
        <w:gridCol w:w="2210"/>
      </w:tblGrid>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项目</w:t>
            </w:r>
          </w:p>
        </w:tc>
        <w:tc>
          <w:tcPr>
            <w:tcW w:w="5218" w:type="dxa"/>
            <w:gridSpan w:val="2"/>
            <w:tcBorders>
              <w:tl2br w:val="nil"/>
              <w:tr2bl w:val="nil"/>
            </w:tcBorders>
            <w:vAlign w:val="center"/>
          </w:tcPr>
          <w:p w:rsidR="00851D42" w:rsidRDefault="00851D42" w:rsidP="005319BE">
            <w:pPr>
              <w:spacing w:line="360" w:lineRule="auto"/>
              <w:rPr>
                <w:rFonts w:ascii="宋体" w:hAnsi="宋体" w:cs="宋体"/>
                <w:b/>
                <w:sz w:val="21"/>
                <w:szCs w:val="21"/>
              </w:rPr>
            </w:pPr>
            <w:r>
              <w:rPr>
                <w:rFonts w:ascii="宋体" w:hAnsi="宋体" w:cs="宋体" w:hint="eastAsia"/>
                <w:b/>
                <w:sz w:val="21"/>
                <w:szCs w:val="21"/>
              </w:rPr>
              <w:t>技术指标</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测定原理</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重铬酸盐法</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测量范围</w:t>
            </w:r>
          </w:p>
        </w:tc>
        <w:tc>
          <w:tcPr>
            <w:tcW w:w="5218" w:type="dxa"/>
            <w:gridSpan w:val="2"/>
            <w:tcBorders>
              <w:tl2br w:val="nil"/>
              <w:tr2bl w:val="nil"/>
            </w:tcBorders>
            <w:vAlign w:val="center"/>
          </w:tcPr>
          <w:p w:rsidR="00851D42" w:rsidRDefault="00851D42" w:rsidP="005319BE">
            <w:pPr>
              <w:spacing w:line="360" w:lineRule="auto"/>
              <w:rPr>
                <w:rFonts w:ascii="宋体" w:hAnsi="宋体" w:cs="宋体"/>
                <w:b/>
                <w:sz w:val="21"/>
                <w:szCs w:val="21"/>
              </w:rPr>
            </w:pPr>
            <w:r>
              <w:rPr>
                <w:rFonts w:ascii="宋体" w:hAnsi="宋体" w:cs="宋体" w:hint="eastAsia"/>
                <w:sz w:val="21"/>
                <w:szCs w:val="21"/>
              </w:rPr>
              <w:t>0~200mg/L，可调可扩展</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检出限</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≤15 mg/L</w:t>
            </w:r>
          </w:p>
        </w:tc>
      </w:tr>
      <w:tr w:rsidR="00851D42" w:rsidTr="005319BE">
        <w:trPr>
          <w:trHeight w:val="567"/>
          <w:jc w:val="center"/>
        </w:trPr>
        <w:tc>
          <w:tcPr>
            <w:tcW w:w="2520" w:type="dxa"/>
            <w:vMerge w:val="restart"/>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示值误差</w:t>
            </w: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标液浓度为40 mg/L时</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10 %</w:t>
            </w:r>
          </w:p>
        </w:tc>
      </w:tr>
      <w:tr w:rsidR="00851D42" w:rsidTr="005319BE">
        <w:trPr>
          <w:trHeight w:val="567"/>
          <w:jc w:val="center"/>
        </w:trPr>
        <w:tc>
          <w:tcPr>
            <w:tcW w:w="2520" w:type="dxa"/>
            <w:vMerge/>
            <w:tcBorders>
              <w:tl2br w:val="nil"/>
              <w:tr2bl w:val="nil"/>
            </w:tcBorders>
            <w:vAlign w:val="center"/>
          </w:tcPr>
          <w:p w:rsidR="00851D42" w:rsidRDefault="00851D42" w:rsidP="005319BE">
            <w:pPr>
              <w:spacing w:line="360" w:lineRule="auto"/>
              <w:rPr>
                <w:rFonts w:ascii="宋体" w:hAnsi="宋体" w:cs="宋体"/>
                <w:sz w:val="21"/>
                <w:szCs w:val="21"/>
              </w:rPr>
            </w:pP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标液浓度为100 mg/L时</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8%</w:t>
            </w:r>
          </w:p>
        </w:tc>
      </w:tr>
      <w:tr w:rsidR="00851D42" w:rsidTr="005319BE">
        <w:trPr>
          <w:trHeight w:val="567"/>
          <w:jc w:val="center"/>
        </w:trPr>
        <w:tc>
          <w:tcPr>
            <w:tcW w:w="2520" w:type="dxa"/>
            <w:vMerge/>
            <w:tcBorders>
              <w:tl2br w:val="nil"/>
              <w:tr2bl w:val="nil"/>
            </w:tcBorders>
            <w:vAlign w:val="center"/>
          </w:tcPr>
          <w:p w:rsidR="00851D42" w:rsidRDefault="00851D42" w:rsidP="005319BE">
            <w:pPr>
              <w:spacing w:line="360" w:lineRule="auto"/>
              <w:rPr>
                <w:rFonts w:ascii="宋体" w:hAnsi="宋体" w:cs="宋体"/>
                <w:sz w:val="21"/>
                <w:szCs w:val="21"/>
              </w:rPr>
            </w:pP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标液浓度为160 mg/L时</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5 %</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lastRenderedPageBreak/>
              <w:t>重复性</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≤5%</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24h 低浓度漂移</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5 mg/L</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24h 高浓度漂移</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5%</w:t>
            </w:r>
          </w:p>
        </w:tc>
      </w:tr>
      <w:tr w:rsidR="00851D42" w:rsidTr="005319BE">
        <w:trPr>
          <w:trHeight w:val="567"/>
          <w:jc w:val="center"/>
        </w:trPr>
        <w:tc>
          <w:tcPr>
            <w:tcW w:w="2520" w:type="dxa"/>
            <w:vMerge w:val="restart"/>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记忆效应</w:t>
            </w: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160 mg/L→40 mg/L</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5 mg/L</w:t>
            </w:r>
          </w:p>
        </w:tc>
      </w:tr>
      <w:tr w:rsidR="00851D42" w:rsidTr="005319BE">
        <w:trPr>
          <w:trHeight w:val="567"/>
          <w:jc w:val="center"/>
        </w:trPr>
        <w:tc>
          <w:tcPr>
            <w:tcW w:w="2520" w:type="dxa"/>
            <w:vMerge/>
            <w:tcBorders>
              <w:tl2br w:val="nil"/>
              <w:tr2bl w:val="nil"/>
            </w:tcBorders>
            <w:vAlign w:val="center"/>
          </w:tcPr>
          <w:p w:rsidR="00851D42" w:rsidRDefault="00851D42" w:rsidP="005319BE">
            <w:pPr>
              <w:spacing w:line="360" w:lineRule="auto"/>
              <w:rPr>
                <w:rFonts w:ascii="宋体" w:hAnsi="宋体" w:cs="宋体"/>
                <w:sz w:val="21"/>
                <w:szCs w:val="21"/>
              </w:rPr>
            </w:pP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40 mg/L →160 mg/L</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 5 mg/L</w:t>
            </w:r>
          </w:p>
        </w:tc>
      </w:tr>
      <w:tr w:rsidR="00851D42" w:rsidTr="005319BE">
        <w:trPr>
          <w:trHeight w:val="567"/>
          <w:jc w:val="center"/>
        </w:trPr>
        <w:tc>
          <w:tcPr>
            <w:tcW w:w="2520" w:type="dxa"/>
            <w:vMerge w:val="restart"/>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实际水样比对试验</w:t>
            </w: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COD</w:t>
            </w:r>
            <w:r>
              <w:rPr>
                <w:rFonts w:ascii="宋体" w:hAnsi="宋体" w:cs="宋体" w:hint="eastAsia"/>
                <w:sz w:val="21"/>
                <w:szCs w:val="21"/>
                <w:vertAlign w:val="subscript"/>
              </w:rPr>
              <w:t>Cr</w:t>
            </w:r>
            <w:r>
              <w:rPr>
                <w:rFonts w:ascii="宋体" w:hAnsi="宋体" w:cs="宋体" w:hint="eastAsia"/>
                <w:sz w:val="21"/>
                <w:szCs w:val="21"/>
              </w:rPr>
              <w:t>＜50 mg/L</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≤5mg/L</w:t>
            </w:r>
          </w:p>
        </w:tc>
      </w:tr>
      <w:tr w:rsidR="00851D42" w:rsidTr="005319BE">
        <w:trPr>
          <w:trHeight w:val="567"/>
          <w:jc w:val="center"/>
        </w:trPr>
        <w:tc>
          <w:tcPr>
            <w:tcW w:w="2520" w:type="dxa"/>
            <w:vMerge/>
            <w:tcBorders>
              <w:tl2br w:val="nil"/>
              <w:tr2bl w:val="nil"/>
            </w:tcBorders>
            <w:vAlign w:val="center"/>
          </w:tcPr>
          <w:p w:rsidR="00851D42" w:rsidRDefault="00851D42" w:rsidP="005319BE">
            <w:pPr>
              <w:spacing w:line="360" w:lineRule="auto"/>
              <w:rPr>
                <w:rFonts w:ascii="宋体" w:hAnsi="宋体" w:cs="宋体"/>
                <w:sz w:val="21"/>
                <w:szCs w:val="21"/>
              </w:rPr>
            </w:pPr>
          </w:p>
        </w:tc>
        <w:tc>
          <w:tcPr>
            <w:tcW w:w="3008"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COD</w:t>
            </w:r>
            <w:r>
              <w:rPr>
                <w:rFonts w:ascii="宋体" w:hAnsi="宋体" w:cs="宋体" w:hint="eastAsia"/>
                <w:sz w:val="21"/>
                <w:szCs w:val="21"/>
                <w:vertAlign w:val="subscript"/>
              </w:rPr>
              <w:t>Cr</w:t>
            </w:r>
            <w:r>
              <w:rPr>
                <w:rFonts w:ascii="宋体" w:hAnsi="宋体" w:cs="宋体" w:hint="eastAsia"/>
                <w:sz w:val="21"/>
                <w:szCs w:val="21"/>
              </w:rPr>
              <w:t>≥50 mg/L</w:t>
            </w:r>
          </w:p>
        </w:tc>
        <w:tc>
          <w:tcPr>
            <w:tcW w:w="221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≤10%</w:t>
            </w:r>
          </w:p>
        </w:tc>
      </w:tr>
      <w:tr w:rsidR="00851D42" w:rsidTr="005319BE">
        <w:trPr>
          <w:trHeight w:val="567"/>
          <w:jc w:val="center"/>
        </w:trPr>
        <w:tc>
          <w:tcPr>
            <w:tcW w:w="2520" w:type="dxa"/>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最小维护周期</w:t>
            </w:r>
          </w:p>
        </w:tc>
        <w:tc>
          <w:tcPr>
            <w:tcW w:w="5218" w:type="dxa"/>
            <w:gridSpan w:val="2"/>
            <w:tcBorders>
              <w:tl2br w:val="nil"/>
              <w:tr2bl w:val="nil"/>
            </w:tcBorders>
            <w:vAlign w:val="center"/>
          </w:tcPr>
          <w:p w:rsidR="00851D42" w:rsidRDefault="00851D42" w:rsidP="005319BE">
            <w:pPr>
              <w:spacing w:line="360" w:lineRule="auto"/>
              <w:rPr>
                <w:rFonts w:ascii="宋体" w:hAnsi="宋体" w:cs="宋体"/>
                <w:sz w:val="21"/>
                <w:szCs w:val="21"/>
              </w:rPr>
            </w:pPr>
            <w:r>
              <w:rPr>
                <w:rFonts w:ascii="宋体" w:hAnsi="宋体" w:cs="宋体" w:hint="eastAsia"/>
                <w:sz w:val="21"/>
                <w:szCs w:val="21"/>
              </w:rPr>
              <w:t>≥168 h/次</w:t>
            </w:r>
          </w:p>
        </w:tc>
      </w:tr>
    </w:tbl>
    <w:p w:rsidR="00851D42" w:rsidRDefault="00851D42" w:rsidP="00851D42">
      <w:pPr>
        <w:spacing w:line="360" w:lineRule="auto"/>
        <w:rPr>
          <w:rFonts w:ascii="宋体" w:hAnsi="宋体" w:cs="宋体"/>
        </w:rPr>
      </w:pPr>
    </w:p>
    <w:p w:rsidR="00851D42" w:rsidRDefault="00851D42" w:rsidP="00851D42">
      <w:pPr>
        <w:keepNext/>
        <w:spacing w:line="360" w:lineRule="auto"/>
        <w:outlineLvl w:val="1"/>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2.3系统集成要求</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系统集成主要包括采水单元、配水及预处理单元、控制单元、分析单元、辅助单元等。</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投标供应商须提供合理、先进、完整的系统集成方案，具备智能化、标准化、流程化和</w:t>
      </w:r>
      <w:proofErr w:type="gramStart"/>
      <w:r>
        <w:rPr>
          <w:rFonts w:ascii="宋体" w:hAnsi="宋体" w:cs="宋体" w:hint="eastAsia"/>
          <w:kern w:val="2"/>
          <w:lang w:eastAsia="zh-CN"/>
        </w:rPr>
        <w:t>可</w:t>
      </w:r>
      <w:proofErr w:type="gramEnd"/>
      <w:r>
        <w:rPr>
          <w:rFonts w:ascii="宋体" w:hAnsi="宋体" w:cs="宋体" w:hint="eastAsia"/>
          <w:kern w:val="2"/>
          <w:lang w:eastAsia="zh-CN"/>
        </w:rPr>
        <w:t>溯源的质量控制体系，确保采水、预处理、分析、质控、清洗以及数据采集和传输等环节的准确可靠。</w:t>
      </w:r>
    </w:p>
    <w:p w:rsidR="00851D42" w:rsidRDefault="00851D42" w:rsidP="00851D42">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2.3.1系统集成功能要求</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1、具有仪器及系统运行周期（连续或间歇）设置功能，至少具备常规、应急、质控等多种运行模式；</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2、具有异常信息记录、上传功能，如采水故障、部件故障、超量程报警、超标报警、缺试剂报警等信息；</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3、具有仪器关键参数上传、远程设置功能，能接受远程控制指令；</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4、一体化微型岸边水质监测</w:t>
      </w:r>
      <w:proofErr w:type="gramStart"/>
      <w:r>
        <w:rPr>
          <w:rFonts w:ascii="宋体" w:hAnsi="宋体" w:cs="宋体" w:hint="eastAsia"/>
          <w:kern w:val="2"/>
          <w:lang w:eastAsia="zh-CN"/>
        </w:rPr>
        <w:t>站具备</w:t>
      </w:r>
      <w:proofErr w:type="gramEnd"/>
      <w:r>
        <w:rPr>
          <w:rFonts w:ascii="宋体" w:hAnsi="宋体" w:cs="宋体" w:hint="eastAsia"/>
          <w:kern w:val="2"/>
          <w:lang w:eastAsia="zh-CN"/>
        </w:rPr>
        <w:t>自动质控功能：具备自动标样核查、自动加标回收率测试等质控功能；具备标样核查、平行样测定、加标回收、24小时零点漂移、24小时跨度（量程）漂移、24小时零点核查和跨度（量程）核查等功能，可实现在线质控。</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5、确保仪器、系统运行的监测数据和状态信息等稳定传输；</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lastRenderedPageBreak/>
        <w:t>6、具备断电再度通电后自动排空水样和试剂、自动清洗管路、自动复位到待机状态的功能；</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7、具有分析仪器及系统过程日志记录和环境参数记录功能，并能够上传至中心平台；</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8、存储不少于1年的原始数据和运行日志；</w:t>
      </w:r>
    </w:p>
    <w:p w:rsidR="00851D42" w:rsidRDefault="00851D42" w:rsidP="00851D42">
      <w:pPr>
        <w:spacing w:line="360" w:lineRule="auto"/>
        <w:ind w:firstLineChars="200" w:firstLine="480"/>
        <w:rPr>
          <w:rFonts w:ascii="宋体" w:hAnsi="宋体" w:cs="宋体"/>
          <w:kern w:val="2"/>
          <w:lang w:eastAsia="zh-CN"/>
        </w:rPr>
      </w:pPr>
      <w:r>
        <w:rPr>
          <w:rFonts w:ascii="宋体" w:hAnsi="宋体" w:cs="宋体" w:hint="eastAsia"/>
          <w:kern w:val="2"/>
          <w:lang w:eastAsia="zh-CN"/>
        </w:rPr>
        <w:t>9、水质自动分析模块及控制单元须具有三级管理权限；</w:t>
      </w:r>
    </w:p>
    <w:p w:rsidR="00851D42" w:rsidRDefault="00851D42" w:rsidP="00851D42">
      <w:pPr>
        <w:spacing w:line="360" w:lineRule="auto"/>
        <w:ind w:firstLineChars="200" w:firstLine="480"/>
        <w:rPr>
          <w:rFonts w:ascii="宋体" w:hAnsi="宋体" w:cs="宋体"/>
          <w:kern w:val="2"/>
          <w:lang w:eastAsia="zh-CN"/>
        </w:rPr>
      </w:pPr>
    </w:p>
    <w:p w:rsidR="00851D42" w:rsidRDefault="00851D42" w:rsidP="00851D42">
      <w:pPr>
        <w:keepNext/>
        <w:spacing w:line="360" w:lineRule="auto"/>
        <w:ind w:leftChars="200" w:left="480"/>
        <w:outlineLvl w:val="2"/>
        <w:rPr>
          <w:rFonts w:ascii="宋体" w:hAnsi="宋体" w:cs="宋体"/>
          <w:b/>
          <w:bCs/>
          <w:kern w:val="2"/>
          <w:sz w:val="26"/>
          <w:szCs w:val="26"/>
          <w:lang w:eastAsia="zh-CN" w:bidi="ar-SA"/>
        </w:rPr>
      </w:pPr>
      <w:r>
        <w:rPr>
          <w:rFonts w:ascii="宋体" w:hAnsi="宋体" w:cs="宋体" w:hint="eastAsia"/>
          <w:b/>
          <w:bCs/>
          <w:kern w:val="2"/>
          <w:sz w:val="26"/>
          <w:szCs w:val="26"/>
          <w:lang w:eastAsia="zh-CN" w:bidi="ar-SA"/>
        </w:rPr>
        <w:t>2.3.2系统集成技术要求</w:t>
      </w:r>
    </w:p>
    <w:p w:rsidR="00851D42" w:rsidRDefault="00851D42" w:rsidP="00851D42">
      <w:pPr>
        <w:spacing w:line="360" w:lineRule="auto"/>
        <w:ind w:firstLineChars="200" w:firstLine="482"/>
        <w:rPr>
          <w:rFonts w:ascii="宋体" w:hAnsi="宋体" w:cs="宋体"/>
          <w:b/>
          <w:lang w:eastAsia="zh-CN"/>
        </w:rPr>
      </w:pPr>
      <w:r>
        <w:rPr>
          <w:rFonts w:ascii="宋体" w:hAnsi="宋体" w:cs="宋体" w:hint="eastAsia"/>
          <w:b/>
          <w:lang w:eastAsia="zh-CN"/>
        </w:rPr>
        <w:t>1、采水单元</w:t>
      </w:r>
    </w:p>
    <w:p w:rsidR="00851D42" w:rsidRDefault="00851D42" w:rsidP="00851D42">
      <w:pPr>
        <w:spacing w:line="360" w:lineRule="auto"/>
        <w:ind w:firstLineChars="200" w:firstLine="480"/>
        <w:rPr>
          <w:rFonts w:ascii="宋体" w:hAnsi="宋体" w:cs="宋体"/>
          <w:b/>
          <w:lang w:eastAsia="zh-CN"/>
        </w:rPr>
      </w:pPr>
      <w:r>
        <w:rPr>
          <w:rFonts w:ascii="宋体" w:hAnsi="宋体" w:cs="宋体" w:hint="eastAsia"/>
          <w:lang w:eastAsia="zh-CN"/>
        </w:rPr>
        <w:t>投标供应商中标后须经过与采购人协商后，进行施工勘察，提出合理的采水单元设计，保证采样的代表性和科学性。采水单元包括主要包括取水装置、水泵、管路、各类阀门和</w:t>
      </w:r>
      <w:proofErr w:type="gramStart"/>
      <w:r>
        <w:rPr>
          <w:rFonts w:ascii="宋体" w:hAnsi="宋体" w:cs="宋体" w:hint="eastAsia"/>
          <w:lang w:eastAsia="zh-CN"/>
        </w:rPr>
        <w:t>辅件</w:t>
      </w:r>
      <w:proofErr w:type="gramEnd"/>
      <w:r>
        <w:rPr>
          <w:rFonts w:ascii="宋体" w:hAnsi="宋体" w:cs="宋体" w:hint="eastAsia"/>
          <w:lang w:eastAsia="zh-CN"/>
        </w:rPr>
        <w:t>。采水单元向系统提供可靠、有效的样品水，必须能够自动连续地与整个系统同步工作。采水设计方案需对各站点气候、地形、丰水期和枯水期的水位变化及水中泥沙或藻类提出相应解决措施，以保证不受水体底部泥沙或水中藻类的影响，保证采集到具有代表性的符合监测需要的水样。</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采水系统：采水系统要使取水口能够随水位变化，保证取水水管的进水孔位于水表面以下0.5m~1m的位置，并与河底保持一定距离，保证采集到具有代表性的符合监测需要的水样，又要保证取样吸头的连续正常使用。</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取水口安装的不锈钢网口具有阻挡水体中拦网过滤的功能，防止水体中的大型垃圾进入取水口而堵塞。</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采水单元采用双泵/双管路采水，</w:t>
      </w:r>
      <w:proofErr w:type="gramStart"/>
      <w:r>
        <w:rPr>
          <w:rFonts w:ascii="宋体" w:hAnsi="宋体" w:cs="宋体" w:hint="eastAsia"/>
          <w:lang w:eastAsia="zh-CN"/>
        </w:rPr>
        <w:t>一</w:t>
      </w:r>
      <w:proofErr w:type="gramEnd"/>
      <w:r>
        <w:rPr>
          <w:rFonts w:ascii="宋体" w:hAnsi="宋体" w:cs="宋体" w:hint="eastAsia"/>
          <w:lang w:eastAsia="zh-CN"/>
        </w:rPr>
        <w:t>备一用，满足实时不间断监测的要求；并且当一路出现故障时，能够自动切换到另一路进行工作，保证整个系统的正常运行。</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★采用</w:t>
      </w:r>
      <w:proofErr w:type="gramStart"/>
      <w:r>
        <w:rPr>
          <w:rFonts w:ascii="宋体" w:hAnsi="宋体" w:cs="宋体" w:hint="eastAsia"/>
          <w:lang w:eastAsia="zh-CN"/>
        </w:rPr>
        <w:t>的泵需满足</w:t>
      </w:r>
      <w:proofErr w:type="gramEnd"/>
      <w:r>
        <w:rPr>
          <w:rFonts w:ascii="宋体" w:hAnsi="宋体" w:cs="宋体" w:hint="eastAsia"/>
          <w:lang w:eastAsia="zh-CN"/>
        </w:rPr>
        <w:t>GB/T3216-2005、GB/T29531-2013及GB/T29529-2013等国标要求，需提供具有CMA资质的省级及以上质量监督检验部门出具的检验报告。</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在取水管道上设有</w:t>
      </w:r>
      <w:proofErr w:type="gramStart"/>
      <w:r>
        <w:rPr>
          <w:rFonts w:ascii="宋体" w:hAnsi="宋体" w:cs="宋体" w:hint="eastAsia"/>
          <w:lang w:eastAsia="zh-CN"/>
        </w:rPr>
        <w:t>清洗水</w:t>
      </w:r>
      <w:proofErr w:type="gramEnd"/>
      <w:r>
        <w:rPr>
          <w:rFonts w:ascii="宋体" w:hAnsi="宋体" w:cs="宋体" w:hint="eastAsia"/>
          <w:lang w:eastAsia="zh-CN"/>
        </w:rPr>
        <w:t>入口，可以通入清洁水进行自动反冲洗，以消除采样吸头由于长时间运行造成的淤积。</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管道采用排空设计，使管道内不存水，以防采水管路结冰和藻类兹生。采水管路应具备防冻和保温功能，以减少环境温度等因素对水样造成影响。</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lastRenderedPageBreak/>
        <w:t>系统可采用连续或间歇方式工作，并能够根据监测要求现场或远程设置监测频次系统的设计，水泵、管路的选择都是按照一套完整系统的原则来进行的，取水系统的总水量满足所有仪器的用水要求，并且适当考虑了将来增加分析仪器的可能。</w:t>
      </w:r>
    </w:p>
    <w:p w:rsidR="00851D42" w:rsidRDefault="00851D42" w:rsidP="00851D42">
      <w:pPr>
        <w:spacing w:line="360" w:lineRule="auto"/>
        <w:ind w:firstLineChars="200" w:firstLine="482"/>
        <w:rPr>
          <w:rFonts w:ascii="宋体" w:hAnsi="宋体" w:cs="宋体"/>
          <w:b/>
          <w:lang w:eastAsia="zh-CN"/>
        </w:rPr>
      </w:pPr>
      <w:bookmarkStart w:id="4" w:name="_Toc525629040"/>
      <w:bookmarkStart w:id="5" w:name="_Toc515543525"/>
      <w:r>
        <w:rPr>
          <w:rFonts w:ascii="宋体" w:hAnsi="宋体" w:cs="宋体" w:hint="eastAsia"/>
          <w:b/>
          <w:lang w:eastAsia="zh-CN"/>
        </w:rPr>
        <w:t>2、配水及预处理单元</w:t>
      </w:r>
      <w:bookmarkEnd w:id="4"/>
      <w:bookmarkEnd w:id="5"/>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投标供应商应提供针对性的配水和预处理方案。</w:t>
      </w:r>
    </w:p>
    <w:p w:rsidR="00851D42" w:rsidRDefault="00851D42" w:rsidP="00851D42">
      <w:pPr>
        <w:spacing w:line="360" w:lineRule="auto"/>
        <w:ind w:firstLineChars="200" w:firstLine="480"/>
        <w:rPr>
          <w:rFonts w:ascii="宋体" w:hAnsi="宋体" w:cs="宋体"/>
          <w:b/>
          <w:lang w:eastAsia="zh-CN"/>
        </w:rPr>
      </w:pPr>
      <w:r>
        <w:rPr>
          <w:rFonts w:ascii="宋体" w:hAnsi="宋体" w:cs="宋体" w:hint="eastAsia"/>
          <w:lang w:eastAsia="zh-CN"/>
        </w:rPr>
        <w:t>配水及预处理单元由水样分配单元、预处理装置及管道等组成。实现对分析仪器配水的功能，并具有自动反清（吹）洗和</w:t>
      </w:r>
      <w:proofErr w:type="gramStart"/>
      <w:r>
        <w:rPr>
          <w:rFonts w:ascii="宋体" w:hAnsi="宋体" w:cs="宋体" w:hint="eastAsia"/>
          <w:lang w:eastAsia="zh-CN"/>
        </w:rPr>
        <w:t>自动除藻功能</w:t>
      </w:r>
      <w:proofErr w:type="gramEnd"/>
      <w:r>
        <w:rPr>
          <w:rFonts w:ascii="宋体" w:hAnsi="宋体" w:cs="宋体" w:hint="eastAsia"/>
          <w:lang w:eastAsia="zh-CN"/>
        </w:rPr>
        <w:t>。预处理单元为不同分析仪器配备预处理装置，应根据国家标准分析方法要求对氨氮、总氮、总磷、化学需氧量分析仪器提供相应的预处理方法。</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（1）配水管路设计合理，流向清晰，便于维护；保证仪器分析测试的水样应能代表断面水质情况并满足仪器测试需求；</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（2）配水单元具备自动反清（吹）洗功能，防止菌类和藻类等微生物对样品污染或对系统工作造成不良影响，设计中不使用对环境产生污染的清洗方法；</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（3）配水</w:t>
      </w:r>
      <w:proofErr w:type="gramStart"/>
      <w:r>
        <w:rPr>
          <w:rFonts w:ascii="宋体" w:hAnsi="宋体" w:cs="宋体" w:hint="eastAsia"/>
          <w:kern w:val="2"/>
          <w:szCs w:val="22"/>
          <w:lang w:eastAsia="zh-CN"/>
        </w:rPr>
        <w:t>主管路采用</w:t>
      </w:r>
      <w:proofErr w:type="gramEnd"/>
      <w:r>
        <w:rPr>
          <w:rFonts w:ascii="宋体" w:hAnsi="宋体" w:cs="宋体" w:hint="eastAsia"/>
          <w:kern w:val="2"/>
          <w:szCs w:val="22"/>
          <w:lang w:eastAsia="zh-CN"/>
        </w:rPr>
        <w:t>串联方式，各仪器之间管路采用并联方式，每台仪器从各自的取样杯中取水，任何仪器的配水管路出现故障不能影响其他仪器的测试；</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（4）具备可扩展功能，水站预留不少于2台设备的接水口、排水口以及水样比对实验用的手动取水口；</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（5）能配合系统实现水样自动分配、自动预处理、故障自动报警、关键部件工作状态的显示和反控等功能；</w:t>
      </w:r>
    </w:p>
    <w:p w:rsidR="00851D42" w:rsidRDefault="00851D42" w:rsidP="00851D42">
      <w:pPr>
        <w:spacing w:line="360" w:lineRule="auto"/>
        <w:ind w:firstLineChars="200" w:firstLine="480"/>
        <w:rPr>
          <w:rFonts w:ascii="宋体" w:hAnsi="宋体" w:cs="宋体"/>
          <w:i/>
          <w:iCs/>
          <w:kern w:val="2"/>
          <w:sz w:val="21"/>
          <w:szCs w:val="21"/>
          <w:lang w:eastAsia="zh-CN" w:bidi="ar-SA"/>
        </w:rPr>
      </w:pPr>
      <w:r>
        <w:rPr>
          <w:rFonts w:ascii="宋体" w:hAnsi="宋体" w:cs="宋体" w:hint="eastAsia"/>
          <w:kern w:val="2"/>
          <w:szCs w:val="22"/>
          <w:lang w:eastAsia="zh-CN"/>
        </w:rPr>
        <w:t>（6）配水单元的所有操作均可通过控制单元实现，并接受平台端的远程控制；</w:t>
      </w:r>
    </w:p>
    <w:p w:rsidR="00851D42" w:rsidRDefault="00851D42" w:rsidP="00851D42">
      <w:pPr>
        <w:numPr>
          <w:ilvl w:val="0"/>
          <w:numId w:val="1"/>
        </w:num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所选管材机械强度及化学稳定性好、使用寿命长、便于安装维护，不会对水样水质造成影响；管路内径、压力、流量、流速满足仪器分析需要，并留有余量；</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（8）针对泥沙较大、暴雨期间、泄洪、丰水期等浊度影响较大的情况，系统应针对性的设计预处理旁路系统，并具备自动切换预处理系统工作功能。</w:t>
      </w:r>
    </w:p>
    <w:p w:rsidR="00851D42" w:rsidRDefault="00851D42" w:rsidP="00851D42">
      <w:pPr>
        <w:spacing w:line="360" w:lineRule="auto"/>
        <w:ind w:firstLineChars="200" w:firstLine="482"/>
        <w:rPr>
          <w:rFonts w:ascii="宋体" w:hAnsi="宋体" w:cs="宋体"/>
          <w:b/>
          <w:bCs/>
          <w:lang w:eastAsia="zh-CN"/>
        </w:rPr>
      </w:pPr>
      <w:bookmarkStart w:id="6" w:name="_Toc531563326"/>
      <w:bookmarkStart w:id="7" w:name="_Toc518684979"/>
      <w:bookmarkStart w:id="8" w:name="_Toc5098294"/>
      <w:bookmarkStart w:id="9" w:name="_Toc515289235"/>
      <w:bookmarkStart w:id="10" w:name="_Toc524726020"/>
      <w:bookmarkStart w:id="11" w:name="_Toc3971724"/>
      <w:bookmarkStart w:id="12" w:name="_Toc515543532"/>
      <w:bookmarkStart w:id="13" w:name="_Toc525629048"/>
      <w:bookmarkStart w:id="14" w:name="_Hlk516213649"/>
      <w:r>
        <w:rPr>
          <w:rFonts w:ascii="宋体" w:hAnsi="宋体" w:cs="宋体" w:hint="eastAsia"/>
          <w:b/>
          <w:lang w:eastAsia="zh-CN"/>
        </w:rPr>
        <w:t>3、</w:t>
      </w:r>
      <w:r>
        <w:rPr>
          <w:rFonts w:ascii="宋体" w:hAnsi="宋体" w:cs="宋体" w:hint="eastAsia"/>
          <w:b/>
          <w:bCs/>
          <w:lang w:eastAsia="zh-CN"/>
        </w:rPr>
        <w:t>控制单元</w:t>
      </w:r>
      <w:bookmarkEnd w:id="6"/>
      <w:bookmarkEnd w:id="7"/>
      <w:bookmarkEnd w:id="8"/>
      <w:bookmarkEnd w:id="9"/>
      <w:bookmarkEnd w:id="10"/>
      <w:bookmarkEnd w:id="11"/>
      <w:bookmarkEnd w:id="12"/>
      <w:bookmarkEnd w:id="13"/>
    </w:p>
    <w:p w:rsidR="00851D42" w:rsidRDefault="00851D42" w:rsidP="00851D42">
      <w:pPr>
        <w:spacing w:line="360" w:lineRule="auto"/>
        <w:ind w:firstLineChars="200" w:firstLine="480"/>
        <w:rPr>
          <w:rFonts w:ascii="宋体" w:hAnsi="宋体" w:cs="宋体"/>
          <w:b/>
          <w:bCs/>
          <w:lang w:eastAsia="zh-CN"/>
        </w:rPr>
      </w:pPr>
      <w:r>
        <w:rPr>
          <w:rFonts w:ascii="宋体" w:hAnsi="宋体" w:cs="宋体" w:hint="eastAsia"/>
          <w:lang w:eastAsia="zh-CN"/>
        </w:rPr>
        <w:lastRenderedPageBreak/>
        <w:t>控制单元对采水单元、配水及预处理单元、分析单元、辅助单元等进行控制，并实现数据采集与传输功能，保证系统连续、可靠和安全运行。</w:t>
      </w:r>
    </w:p>
    <w:p w:rsidR="00851D42" w:rsidRDefault="00851D42" w:rsidP="00851D42">
      <w:pPr>
        <w:numPr>
          <w:ilvl w:val="0"/>
          <w:numId w:val="2"/>
        </w:numPr>
        <w:spacing w:line="360" w:lineRule="auto"/>
        <w:ind w:firstLineChars="200" w:firstLine="482"/>
        <w:rPr>
          <w:rFonts w:ascii="宋体" w:hAnsi="宋体" w:cs="宋体"/>
        </w:rPr>
      </w:pPr>
      <w:r>
        <w:rPr>
          <w:rFonts w:ascii="宋体" w:hAnsi="宋体" w:cs="宋体" w:hint="eastAsia"/>
          <w:b/>
          <w:bCs/>
        </w:rPr>
        <w:t>功能要求</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①具有断电保护功能，能够在断电时保存系统参数和历史数据，在来电时自动恢复系统；</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②具备自动采集数据功能，包括自动采集水质自动分析模块数据、集成控制数据等，采集的数据应自动添加数据标识，异常监测数据能自动识别，并主动上传至采购人指定的数据平台；</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③具备单点控制功能，能够对单一控制点（阀、泵等）进行调试；</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④具备对自动分析模块的启停、校时、校准、质控测试等控制功能；</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⑥能够兼容视频监控设备并能实现对视频设备进行校时、重新启动、参数设置、软件升级、远程维护等功能；</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⑦具备参数设置功能，能够对小数位、单位、仪器测定上下限、报警（超标）上下限等参数进行设置；</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⑧具备各仪器监测结果、状态参数、运行流程、报警信息等显示的功能；</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⑨具有监测数据查询、导出、自动备份功能，可分类查询水质周期数据、质控数据（空白测试数据、标样核查数据、加标回收率数据等）及其对应的仪器、系统日志流程信息。</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⑩PLC具有良好的扩展能力，控制器输入输出接口满足需求且余量不少于4路，以便以后扩展；具有良好的防雷抗干扰能力，符合抗电磁辐射、电磁感应的相关规定，具备电源隔离和信号隔离措施。PLC需通过CE认证，提供相关证明材料。</w:t>
      </w:r>
    </w:p>
    <w:p w:rsidR="00851D42" w:rsidRDefault="00851D42" w:rsidP="00851D42">
      <w:pPr>
        <w:spacing w:line="360" w:lineRule="auto"/>
        <w:ind w:firstLineChars="200" w:firstLine="482"/>
        <w:rPr>
          <w:rFonts w:ascii="宋体" w:hAnsi="宋体" w:cs="宋体"/>
          <w:b/>
          <w:bCs/>
          <w:lang w:eastAsia="zh-CN"/>
        </w:rPr>
      </w:pPr>
      <w:r>
        <w:rPr>
          <w:rFonts w:ascii="宋体" w:hAnsi="宋体" w:cs="宋体" w:hint="eastAsia"/>
          <w:b/>
          <w:bCs/>
          <w:lang w:eastAsia="zh-CN"/>
        </w:rPr>
        <w:t>（2）硬件设备技术参数</w:t>
      </w:r>
    </w:p>
    <w:p w:rsidR="00851D42" w:rsidRDefault="00851D42" w:rsidP="00851D42">
      <w:pPr>
        <w:spacing w:line="360" w:lineRule="auto"/>
        <w:ind w:firstLineChars="200" w:firstLine="480"/>
        <w:rPr>
          <w:rFonts w:ascii="宋体" w:hAnsi="宋体" w:cs="宋体"/>
        </w:rPr>
      </w:pPr>
      <w:r>
        <w:rPr>
          <w:rFonts w:ascii="宋体" w:hAnsi="宋体" w:cs="宋体" w:hint="eastAsia"/>
        </w:rPr>
        <w:t>①工业控制计算机</w:t>
      </w:r>
    </w:p>
    <w:tbl>
      <w:tblPr>
        <w:tblStyle w:val="TableNormal"/>
        <w:tblW w:w="8721" w:type="dxa"/>
        <w:jc w:val="center"/>
        <w:tblInd w:w="0" w:type="dxa"/>
        <w:tblLayout w:type="fixed"/>
        <w:tblLook w:val="04A0" w:firstRow="1" w:lastRow="0" w:firstColumn="1" w:lastColumn="0" w:noHBand="0" w:noVBand="1"/>
      </w:tblPr>
      <w:tblGrid>
        <w:gridCol w:w="919"/>
        <w:gridCol w:w="1593"/>
        <w:gridCol w:w="6209"/>
      </w:tblGrid>
      <w:tr w:rsidR="00851D42" w:rsidTr="005319BE">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jc w:val="center"/>
              <w:rPr>
                <w:rFonts w:ascii="宋体" w:hAnsi="宋体"/>
                <w:szCs w:val="21"/>
              </w:rPr>
            </w:pPr>
            <w:r>
              <w:rPr>
                <w:rFonts w:ascii="宋体" w:hAnsi="宋体" w:hint="eastAsia"/>
                <w:szCs w:val="21"/>
              </w:rPr>
              <w:t>序号</w:t>
            </w:r>
          </w:p>
        </w:tc>
        <w:tc>
          <w:tcPr>
            <w:tcW w:w="159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指标名称</w:t>
            </w:r>
          </w:p>
        </w:tc>
        <w:tc>
          <w:tcPr>
            <w:tcW w:w="620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性能指标</w:t>
            </w:r>
          </w:p>
        </w:tc>
      </w:tr>
      <w:tr w:rsidR="00851D42" w:rsidTr="005319BE">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jc w:val="center"/>
              <w:rPr>
                <w:rFonts w:ascii="宋体" w:hAnsi="宋体"/>
                <w:szCs w:val="21"/>
              </w:rPr>
            </w:pPr>
            <w:r>
              <w:rPr>
                <w:rFonts w:ascii="宋体" w:hAnsi="宋体" w:hint="eastAsia"/>
                <w:szCs w:val="21"/>
              </w:rPr>
              <w:t>1</w:t>
            </w:r>
          </w:p>
        </w:tc>
        <w:tc>
          <w:tcPr>
            <w:tcW w:w="159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CPU</w:t>
            </w:r>
          </w:p>
        </w:tc>
        <w:tc>
          <w:tcPr>
            <w:tcW w:w="620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≥2.0GHz</w:t>
            </w:r>
          </w:p>
        </w:tc>
      </w:tr>
      <w:tr w:rsidR="00851D42" w:rsidTr="005319BE">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jc w:val="center"/>
              <w:rPr>
                <w:rFonts w:ascii="宋体" w:hAnsi="宋体"/>
                <w:szCs w:val="21"/>
              </w:rPr>
            </w:pPr>
            <w:r>
              <w:rPr>
                <w:rFonts w:ascii="宋体" w:hAnsi="宋体" w:hint="eastAsia"/>
                <w:szCs w:val="21"/>
              </w:rPr>
              <w:t>2</w:t>
            </w:r>
          </w:p>
        </w:tc>
        <w:tc>
          <w:tcPr>
            <w:tcW w:w="159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内存</w:t>
            </w:r>
          </w:p>
        </w:tc>
        <w:tc>
          <w:tcPr>
            <w:tcW w:w="620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≥2GB</w:t>
            </w:r>
          </w:p>
        </w:tc>
      </w:tr>
      <w:tr w:rsidR="00851D42" w:rsidTr="005319BE">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jc w:val="center"/>
              <w:rPr>
                <w:rFonts w:ascii="宋体" w:hAnsi="宋体"/>
                <w:szCs w:val="21"/>
              </w:rPr>
            </w:pPr>
            <w:r>
              <w:rPr>
                <w:rFonts w:ascii="宋体" w:hAnsi="宋体" w:hint="eastAsia"/>
                <w:szCs w:val="21"/>
              </w:rPr>
              <w:t>3</w:t>
            </w:r>
          </w:p>
        </w:tc>
        <w:tc>
          <w:tcPr>
            <w:tcW w:w="159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硬盘容量</w:t>
            </w:r>
          </w:p>
        </w:tc>
        <w:tc>
          <w:tcPr>
            <w:tcW w:w="620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≥500GB</w:t>
            </w:r>
          </w:p>
        </w:tc>
      </w:tr>
      <w:tr w:rsidR="00851D42" w:rsidTr="005319BE">
        <w:trPr>
          <w:trHeight w:val="383"/>
          <w:jc w:val="center"/>
        </w:trPr>
        <w:tc>
          <w:tcPr>
            <w:tcW w:w="91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jc w:val="center"/>
              <w:rPr>
                <w:rFonts w:ascii="宋体" w:hAnsi="宋体"/>
                <w:szCs w:val="21"/>
              </w:rPr>
            </w:pPr>
            <w:r>
              <w:rPr>
                <w:rFonts w:ascii="宋体" w:hAnsi="宋体" w:hint="eastAsia"/>
                <w:szCs w:val="21"/>
              </w:rPr>
              <w:t>4</w:t>
            </w:r>
          </w:p>
        </w:tc>
        <w:tc>
          <w:tcPr>
            <w:tcW w:w="159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显示器</w:t>
            </w:r>
          </w:p>
        </w:tc>
        <w:tc>
          <w:tcPr>
            <w:tcW w:w="620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≥12英寸</w:t>
            </w:r>
          </w:p>
        </w:tc>
      </w:tr>
      <w:tr w:rsidR="00851D42" w:rsidTr="005319BE">
        <w:trPr>
          <w:trHeight w:val="383"/>
          <w:jc w:val="center"/>
        </w:trPr>
        <w:tc>
          <w:tcPr>
            <w:tcW w:w="919" w:type="dxa"/>
            <w:vMerge w:val="restart"/>
            <w:tcBorders>
              <w:top w:val="single" w:sz="4" w:space="0" w:color="000000"/>
              <w:left w:val="single" w:sz="4" w:space="0" w:color="000000"/>
              <w:right w:val="single" w:sz="4" w:space="0" w:color="000000"/>
            </w:tcBorders>
            <w:vAlign w:val="center"/>
          </w:tcPr>
          <w:p w:rsidR="00851D42" w:rsidRDefault="00851D42" w:rsidP="005319BE">
            <w:pPr>
              <w:spacing w:line="360" w:lineRule="auto"/>
              <w:jc w:val="center"/>
              <w:rPr>
                <w:rFonts w:ascii="宋体" w:hAnsi="宋体"/>
                <w:szCs w:val="21"/>
              </w:rPr>
            </w:pPr>
            <w:r>
              <w:rPr>
                <w:rFonts w:ascii="宋体" w:hAnsi="宋体" w:hint="eastAsia"/>
                <w:szCs w:val="21"/>
              </w:rPr>
              <w:lastRenderedPageBreak/>
              <w:t>5</w:t>
            </w:r>
          </w:p>
        </w:tc>
        <w:tc>
          <w:tcPr>
            <w:tcW w:w="1593" w:type="dxa"/>
            <w:vMerge w:val="restart"/>
            <w:tcBorders>
              <w:top w:val="single" w:sz="4" w:space="0" w:color="000000"/>
              <w:left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通讯接口</w:t>
            </w:r>
          </w:p>
        </w:tc>
        <w:tc>
          <w:tcPr>
            <w:tcW w:w="620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RS232/485COM口，不小于8个</w:t>
            </w:r>
          </w:p>
        </w:tc>
      </w:tr>
      <w:tr w:rsidR="00851D42" w:rsidTr="005319BE">
        <w:trPr>
          <w:trHeight w:val="383"/>
          <w:jc w:val="center"/>
        </w:trPr>
        <w:tc>
          <w:tcPr>
            <w:tcW w:w="919" w:type="dxa"/>
            <w:vMerge/>
            <w:tcBorders>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rPr>
            </w:pPr>
          </w:p>
        </w:tc>
        <w:tc>
          <w:tcPr>
            <w:tcW w:w="1593" w:type="dxa"/>
            <w:vMerge/>
            <w:tcBorders>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p>
        </w:tc>
        <w:tc>
          <w:tcPr>
            <w:tcW w:w="6209"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w w:val="105"/>
                <w:szCs w:val="21"/>
              </w:rPr>
            </w:pPr>
            <w:r>
              <w:rPr>
                <w:rFonts w:ascii="宋体" w:hAnsi="宋体" w:hint="eastAsia"/>
                <w:w w:val="105"/>
                <w:szCs w:val="21"/>
              </w:rPr>
              <w:t>网口，不少于2个</w:t>
            </w:r>
          </w:p>
        </w:tc>
      </w:tr>
    </w:tbl>
    <w:p w:rsidR="00851D42" w:rsidRDefault="00851D42" w:rsidP="00851D42">
      <w:pPr>
        <w:spacing w:line="360" w:lineRule="auto"/>
        <w:ind w:firstLineChars="200" w:firstLine="480"/>
        <w:rPr>
          <w:rFonts w:ascii="宋体" w:hAnsi="宋体" w:cs="宋体"/>
        </w:rPr>
      </w:pPr>
      <w:r>
        <w:rPr>
          <w:rFonts w:ascii="宋体" w:hAnsi="宋体" w:cs="宋体" w:hint="eastAsia"/>
        </w:rPr>
        <w:t>②可编程控制器</w:t>
      </w:r>
    </w:p>
    <w:tbl>
      <w:tblPr>
        <w:tblStyle w:val="TableNormal"/>
        <w:tblW w:w="8648" w:type="dxa"/>
        <w:tblInd w:w="619" w:type="dxa"/>
        <w:tblLayout w:type="fixed"/>
        <w:tblLook w:val="04A0" w:firstRow="1" w:lastRow="0" w:firstColumn="1" w:lastColumn="0" w:noHBand="0" w:noVBand="1"/>
      </w:tblPr>
      <w:tblGrid>
        <w:gridCol w:w="923"/>
        <w:gridCol w:w="1522"/>
        <w:gridCol w:w="6203"/>
      </w:tblGrid>
      <w:tr w:rsidR="00851D42" w:rsidTr="005319BE">
        <w:trPr>
          <w:trHeight w:hRule="exact" w:val="542"/>
        </w:trPr>
        <w:tc>
          <w:tcPr>
            <w:tcW w:w="92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rPr>
            </w:pPr>
            <w:r>
              <w:rPr>
                <w:rFonts w:ascii="宋体" w:hAnsi="宋体" w:hint="eastAsia"/>
                <w:szCs w:val="21"/>
              </w:rPr>
              <w:t>序号</w:t>
            </w:r>
          </w:p>
        </w:tc>
        <w:tc>
          <w:tcPr>
            <w:tcW w:w="1522"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rPr>
            </w:pPr>
            <w:r>
              <w:rPr>
                <w:rFonts w:ascii="宋体" w:hAnsi="宋体" w:hint="eastAsia"/>
                <w:szCs w:val="21"/>
              </w:rPr>
              <w:t>指标名称</w:t>
            </w:r>
          </w:p>
        </w:tc>
        <w:tc>
          <w:tcPr>
            <w:tcW w:w="620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rPr>
            </w:pPr>
            <w:r>
              <w:rPr>
                <w:rFonts w:ascii="宋体" w:hAnsi="宋体" w:hint="eastAsia"/>
                <w:szCs w:val="21"/>
              </w:rPr>
              <w:t>性能指标</w:t>
            </w:r>
          </w:p>
        </w:tc>
      </w:tr>
      <w:tr w:rsidR="00851D42" w:rsidTr="005319BE">
        <w:trPr>
          <w:trHeight w:hRule="exact" w:val="884"/>
        </w:trPr>
        <w:tc>
          <w:tcPr>
            <w:tcW w:w="92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rPr>
            </w:pPr>
            <w:r>
              <w:rPr>
                <w:rFonts w:ascii="宋体" w:hAnsi="宋体" w:hint="eastAsia"/>
                <w:szCs w:val="21"/>
              </w:rPr>
              <w:t>1</w:t>
            </w:r>
          </w:p>
        </w:tc>
        <w:tc>
          <w:tcPr>
            <w:tcW w:w="1522"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rPr>
            </w:pPr>
            <w:r>
              <w:rPr>
                <w:rFonts w:ascii="宋体" w:hAnsi="宋体" w:hint="eastAsia"/>
                <w:szCs w:val="21"/>
              </w:rPr>
              <w:t>扩展能力</w:t>
            </w:r>
          </w:p>
        </w:tc>
        <w:tc>
          <w:tcPr>
            <w:tcW w:w="620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lang w:eastAsia="zh-CN"/>
              </w:rPr>
            </w:pPr>
            <w:r>
              <w:rPr>
                <w:rFonts w:ascii="宋体" w:hAnsi="宋体" w:hint="eastAsia"/>
                <w:szCs w:val="21"/>
                <w:lang w:eastAsia="zh-CN"/>
              </w:rPr>
              <w:t>控制器输入输出接口满足需求且余量不少于4路，以便以后扩展。</w:t>
            </w:r>
          </w:p>
        </w:tc>
      </w:tr>
      <w:tr w:rsidR="00851D42" w:rsidTr="005319BE">
        <w:trPr>
          <w:trHeight w:hRule="exact" w:val="831"/>
        </w:trPr>
        <w:tc>
          <w:tcPr>
            <w:tcW w:w="92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rPr>
            </w:pPr>
            <w:r>
              <w:rPr>
                <w:rFonts w:ascii="宋体" w:hAnsi="宋体" w:hint="eastAsia"/>
                <w:szCs w:val="21"/>
              </w:rPr>
              <w:t>2</w:t>
            </w:r>
          </w:p>
        </w:tc>
        <w:tc>
          <w:tcPr>
            <w:tcW w:w="1522"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rPr>
            </w:pPr>
            <w:r>
              <w:rPr>
                <w:rFonts w:ascii="宋体" w:hAnsi="宋体" w:hint="eastAsia"/>
                <w:szCs w:val="21"/>
              </w:rPr>
              <w:t>防雷抗干扰能力</w:t>
            </w:r>
          </w:p>
        </w:tc>
        <w:tc>
          <w:tcPr>
            <w:tcW w:w="6203" w:type="dxa"/>
            <w:tcBorders>
              <w:top w:val="single" w:sz="4" w:space="0" w:color="000000"/>
              <w:left w:val="single" w:sz="4" w:space="0" w:color="000000"/>
              <w:bottom w:val="single" w:sz="4" w:space="0" w:color="000000"/>
              <w:right w:val="single" w:sz="4" w:space="0" w:color="000000"/>
            </w:tcBorders>
            <w:vAlign w:val="center"/>
          </w:tcPr>
          <w:p w:rsidR="00851D42" w:rsidRDefault="00851D42" w:rsidP="005319BE">
            <w:pPr>
              <w:spacing w:line="360" w:lineRule="auto"/>
              <w:rPr>
                <w:rFonts w:ascii="宋体" w:hAnsi="宋体"/>
                <w:szCs w:val="21"/>
                <w:lang w:eastAsia="zh-CN"/>
              </w:rPr>
            </w:pPr>
            <w:r>
              <w:rPr>
                <w:rFonts w:ascii="宋体" w:hAnsi="宋体" w:hint="eastAsia"/>
                <w:szCs w:val="21"/>
                <w:lang w:eastAsia="zh-CN"/>
              </w:rPr>
              <w:t>符合抗电磁辐射、电磁感应的相关规定，具备电源隔离和信号隔离措施。</w:t>
            </w:r>
          </w:p>
        </w:tc>
      </w:tr>
    </w:tbl>
    <w:p w:rsidR="00851D42" w:rsidRDefault="00851D42" w:rsidP="00851D42">
      <w:pPr>
        <w:spacing w:line="360" w:lineRule="auto"/>
        <w:ind w:firstLineChars="200" w:firstLine="482"/>
        <w:rPr>
          <w:rFonts w:ascii="宋体" w:hAnsi="宋体" w:cs="宋体"/>
          <w:b/>
          <w:bCs/>
          <w:lang w:eastAsia="zh-CN"/>
        </w:rPr>
      </w:pPr>
      <w:bookmarkStart w:id="15" w:name="_Toc5098295"/>
      <w:bookmarkStart w:id="16" w:name="_Toc3971725"/>
      <w:bookmarkStart w:id="17" w:name="_Toc531563327"/>
      <w:r>
        <w:rPr>
          <w:rFonts w:ascii="宋体" w:hAnsi="宋体" w:cs="宋体" w:hint="eastAsia"/>
          <w:b/>
          <w:lang w:eastAsia="zh-CN"/>
        </w:rPr>
        <w:t>4、</w:t>
      </w:r>
      <w:r>
        <w:rPr>
          <w:rFonts w:ascii="宋体" w:hAnsi="宋体" w:cs="宋体" w:hint="eastAsia"/>
          <w:b/>
          <w:bCs/>
          <w:lang w:eastAsia="zh-CN"/>
        </w:rPr>
        <w:t>数据采集与传输单元</w:t>
      </w:r>
      <w:bookmarkEnd w:id="15"/>
      <w:bookmarkEnd w:id="16"/>
      <w:bookmarkEnd w:id="17"/>
    </w:p>
    <w:p w:rsidR="00851D42" w:rsidRDefault="00851D42" w:rsidP="00851D42">
      <w:pPr>
        <w:spacing w:line="360" w:lineRule="auto"/>
        <w:ind w:firstLineChars="200" w:firstLine="482"/>
        <w:rPr>
          <w:rFonts w:ascii="宋体" w:hAnsi="宋体" w:cs="宋体"/>
          <w:b/>
          <w:lang w:eastAsia="zh-CN"/>
        </w:rPr>
      </w:pPr>
      <w:r>
        <w:rPr>
          <w:rFonts w:ascii="宋体" w:hAnsi="宋体" w:cs="宋体" w:hint="eastAsia"/>
          <w:b/>
          <w:lang w:eastAsia="zh-CN"/>
        </w:rPr>
        <w:t>（1）数据采集与存储</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①采集自动分析仪器的监测数据，并分类保存；</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②采集自动分析仪器和集成系统各单元的工作状态量，并以运行日志的形式记录保存；</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③能够实时采集视频信息并传输至指定数据平台；</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④断电后能自动保存历史数据和参数设置。</w:t>
      </w:r>
    </w:p>
    <w:p w:rsidR="00851D42" w:rsidRDefault="00851D42" w:rsidP="00851D42">
      <w:pPr>
        <w:spacing w:line="360" w:lineRule="auto"/>
        <w:ind w:firstLineChars="200" w:firstLine="482"/>
        <w:rPr>
          <w:rFonts w:ascii="宋体" w:hAnsi="宋体" w:cs="宋体"/>
          <w:b/>
          <w:lang w:eastAsia="zh-CN"/>
        </w:rPr>
      </w:pPr>
      <w:r>
        <w:rPr>
          <w:rFonts w:ascii="宋体" w:hAnsi="宋体" w:cs="宋体" w:hint="eastAsia"/>
          <w:b/>
          <w:lang w:eastAsia="zh-CN"/>
        </w:rPr>
        <w:t>（2）数据传输与通讯</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①采用无线、有线的通讯方式满足数据传输要求；</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②具备对通信链路的自动诊断功能，具备超时补发功能。</w:t>
      </w:r>
    </w:p>
    <w:p w:rsidR="00851D42" w:rsidRDefault="00851D42" w:rsidP="00851D42">
      <w:pPr>
        <w:spacing w:line="360" w:lineRule="auto"/>
        <w:ind w:firstLineChars="200" w:firstLine="482"/>
        <w:rPr>
          <w:rFonts w:ascii="宋体" w:hAnsi="宋体" w:cs="宋体"/>
          <w:b/>
          <w:lang w:eastAsia="zh-CN"/>
        </w:rPr>
      </w:pPr>
      <w:r>
        <w:rPr>
          <w:rFonts w:ascii="宋体" w:hAnsi="宋体" w:cs="宋体" w:hint="eastAsia"/>
          <w:b/>
          <w:lang w:eastAsia="zh-CN"/>
        </w:rPr>
        <w:t>（3）数字标准接口</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RS232、RS485串口或网络口。</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电流4—20mA或电压0—5V，必须具有稳定的供电输入和稳定的仪器设备输入、输出。</w:t>
      </w:r>
    </w:p>
    <w:p w:rsidR="00851D42" w:rsidRDefault="00851D42" w:rsidP="00851D42">
      <w:pPr>
        <w:spacing w:line="360" w:lineRule="auto"/>
        <w:ind w:firstLineChars="200" w:firstLine="482"/>
        <w:rPr>
          <w:rFonts w:ascii="宋体" w:hAnsi="宋体" w:cs="宋体"/>
          <w:b/>
          <w:lang w:eastAsia="zh-CN"/>
        </w:rPr>
      </w:pPr>
      <w:bookmarkStart w:id="18" w:name="_Toc3971726"/>
      <w:bookmarkStart w:id="19" w:name="_Toc525629054"/>
      <w:bookmarkStart w:id="20" w:name="_Toc531563328"/>
      <w:bookmarkStart w:id="21" w:name="_Toc518684981"/>
      <w:bookmarkStart w:id="22" w:name="_Toc5098296"/>
      <w:bookmarkEnd w:id="14"/>
      <w:r>
        <w:rPr>
          <w:rFonts w:ascii="宋体" w:hAnsi="宋体" w:cs="宋体" w:hint="eastAsia"/>
          <w:b/>
          <w:lang w:eastAsia="zh-CN"/>
        </w:rPr>
        <w:t>5、辅助单元</w:t>
      </w:r>
    </w:p>
    <w:bookmarkEnd w:id="18"/>
    <w:bookmarkEnd w:id="19"/>
    <w:bookmarkEnd w:id="20"/>
    <w:bookmarkEnd w:id="21"/>
    <w:bookmarkEnd w:id="22"/>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辅助单元应包含UPS、稳压电源、温度控制、防雷单元、废液单元等部分。</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1）配备UPS（总功率大于2KVA，断电后至少能保证系统所有仪器完成一个测量周期和数据上传，且待机不少于4h，输入电压：115~300VAC，输出电压：220*（1±2%），负载效应：输入在电压允许范围内，从空载到满载输出电压变化±2%，可靠性：MTBF≥3000小时）；配备三相稳压电源（功率≥5KVA）、系统集成机柜、维护专用成套工具等；</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（2）配备一般废液自动收集单元，满足两周以上废液量的收集；</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lastRenderedPageBreak/>
        <w:t>（3）机柜统一安装门禁系统，并自动记录柜门开关情况；密码钥匙两用，具备报警功能，门被故意打开，系统将发射信号至监控系统。</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4）为保证系统稳定、可靠运行，必须具有电源、信号、设备等设施的防雷措施；要求监测系统配置全面的防感应雷措施，有效防止雷击对系统造成的损坏。内部防雷装置由共用接地系统、屏蔽系统、合理布线系统、浪涌保护器等组成，主要用于减小和防止雷电流在需防空间内所产生的电磁效应，包括通讯系统、供电系统和仪器设备等；安装信号防雷器。验收前防雷接地需要专业有资质的机构出具合格的检测报告，验收后每年年检一次。</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5）监测系统配备空调温控系统，具备冷暖、来电自启动功能，解决气候温差所引起的仪器检测和试剂存放问题，从而保证系统正常使用的环境温度。温控系统自触发模式，可以直接检测机箱内部温度，保持站房室内温度冬季15-25℃，夏季25-35℃，相对湿度不大于60%，具体温度控制可根据实际情况需求进行微调。</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★机柜空调外壳防护等级需达到IP55。（须提供具有CNAS资质的市级及以上质量技术监督部门出具的检验报告）</w:t>
      </w:r>
    </w:p>
    <w:p w:rsidR="00851D42" w:rsidRDefault="00851D42" w:rsidP="00851D42">
      <w:pPr>
        <w:spacing w:line="360" w:lineRule="auto"/>
        <w:ind w:firstLineChars="200" w:firstLine="482"/>
        <w:rPr>
          <w:rFonts w:ascii="宋体" w:hAnsi="宋体" w:cs="宋体"/>
          <w:b/>
          <w:lang w:eastAsia="zh-CN"/>
        </w:rPr>
      </w:pPr>
      <w:r>
        <w:rPr>
          <w:rFonts w:ascii="宋体" w:hAnsi="宋体" w:cs="宋体" w:hint="eastAsia"/>
          <w:b/>
          <w:lang w:eastAsia="zh-CN"/>
        </w:rPr>
        <w:t>7、视频监控</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系统配备视频监控系统，并与软件平台联网，实时捕捉异常情况。视频监控系统具有区域入侵侦测、越界侦测、音域异常侦测、移动侦测、视频遮挡侦测功能；起到实时监控断面水情和安防的作用，可实现开门声响报警和短信报警，防止非法入侵；视频系统可以在箱体开门的瞬间激发传感器发送无线信号，引导视频对准箱体，达到更好的安防效果。系统参数如下：</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分辨率达1920*1080，支持H.265高效压缩编码；</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20倍光学变倍，16倍数字变倍；</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支持自动光圈、自动聚焦、自动白平衡、背光补偿；</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支持超低照度，0.05Lux/F1.6（彩色），0.01Lux/F1.6（黑白），0LuxwithIR；</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支持3D数字降噪、宽动态功能；支持128GMICROSD/SDHC/SDXC卡存储；</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t>支持NAS存储录像，可</w:t>
      </w:r>
      <w:proofErr w:type="gramStart"/>
      <w:r>
        <w:rPr>
          <w:rFonts w:ascii="宋体" w:hAnsi="宋体" w:cs="宋体" w:hint="eastAsia"/>
          <w:kern w:val="2"/>
          <w:szCs w:val="22"/>
          <w:lang w:eastAsia="zh-CN"/>
        </w:rPr>
        <w:t>断网续传</w:t>
      </w:r>
      <w:proofErr w:type="gramEnd"/>
      <w:r>
        <w:rPr>
          <w:rFonts w:ascii="宋体" w:hAnsi="宋体" w:cs="宋体" w:hint="eastAsia"/>
          <w:kern w:val="2"/>
          <w:szCs w:val="22"/>
          <w:lang w:eastAsia="zh-CN"/>
        </w:rPr>
        <w:t>。</w:t>
      </w:r>
    </w:p>
    <w:p w:rsidR="00851D42" w:rsidRDefault="00851D42" w:rsidP="00851D42">
      <w:pPr>
        <w:spacing w:line="360" w:lineRule="auto"/>
        <w:ind w:firstLineChars="200" w:firstLine="480"/>
        <w:rPr>
          <w:rFonts w:ascii="宋体" w:hAnsi="宋体" w:cs="宋体"/>
          <w:kern w:val="2"/>
          <w:szCs w:val="22"/>
          <w:lang w:eastAsia="zh-CN"/>
        </w:rPr>
      </w:pPr>
      <w:r>
        <w:rPr>
          <w:rFonts w:ascii="宋体" w:hAnsi="宋体" w:cs="宋体" w:hint="eastAsia"/>
          <w:kern w:val="2"/>
          <w:szCs w:val="22"/>
          <w:lang w:eastAsia="zh-CN"/>
        </w:rPr>
        <w:lastRenderedPageBreak/>
        <w:t>视频监控区域要能涵盖采水口附近区域水面、机柜四周（如果机柜处摄像头拍摄不到采水口及其附近水面，必须在采水口处加装同等机柜处技术规格的摄像装备）；并且要求白天和夜晚监控的所有图像均要清晰可见。</w:t>
      </w:r>
    </w:p>
    <w:p w:rsidR="00851D42" w:rsidRDefault="00851D42" w:rsidP="00851D42">
      <w:pPr>
        <w:numPr>
          <w:ilvl w:val="0"/>
          <w:numId w:val="3"/>
        </w:numPr>
        <w:spacing w:line="360" w:lineRule="auto"/>
        <w:ind w:firstLineChars="200" w:firstLine="482"/>
        <w:rPr>
          <w:rFonts w:ascii="宋体" w:hAnsi="宋体" w:cs="宋体"/>
          <w:b/>
          <w:bCs/>
          <w:kern w:val="2"/>
          <w:szCs w:val="22"/>
          <w:lang w:eastAsia="zh-CN"/>
        </w:rPr>
      </w:pPr>
      <w:r>
        <w:rPr>
          <w:rFonts w:ascii="宋体" w:hAnsi="宋体" w:cs="宋体" w:hint="eastAsia"/>
          <w:b/>
          <w:bCs/>
          <w:kern w:val="2"/>
          <w:szCs w:val="22"/>
          <w:lang w:eastAsia="zh-CN"/>
        </w:rPr>
        <w:t>数据平台</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水质在线监测数据管理平台需有以下功能：</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1）生态可视化数据展示，结合GIS地图动态展示水质信息，包括水质类别、水质达标情况、水质变化情况等，方便用户发现问题，协助决策。</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2）运行管理与控制，通过权限管理，实现远程控制仪器设备的工作状态参数，获取监测状态信息，并对系统运行状况进行评估；</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3）数据、状态信息查询与统计分析，通过对自动站实际监测信息的监控，实现数据的接收统计、状态查询及分析，为本地区的水质状况提供数据支持；</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4）预警与报警，实现水质异常变化、超标或系统发生异常、故障时，系统平台及时</w:t>
      </w:r>
      <w:proofErr w:type="gramStart"/>
      <w:r>
        <w:rPr>
          <w:rFonts w:ascii="宋体" w:hAnsi="宋体" w:cs="宋体" w:hint="eastAsia"/>
          <w:lang w:eastAsia="zh-CN"/>
        </w:rPr>
        <w:t>作出</w:t>
      </w:r>
      <w:proofErr w:type="gramEnd"/>
      <w:r>
        <w:rPr>
          <w:rFonts w:ascii="宋体" w:hAnsi="宋体" w:cs="宋体" w:hint="eastAsia"/>
          <w:lang w:eastAsia="zh-CN"/>
        </w:rPr>
        <w:t>判断，并及时通报相关人员采取措施；发生突发污染事故，通过数字化管理，协助指导应急工作；</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5）运</w:t>
      </w:r>
      <w:proofErr w:type="gramStart"/>
      <w:r>
        <w:rPr>
          <w:rFonts w:ascii="宋体" w:hAnsi="宋体" w:cs="宋体" w:hint="eastAsia"/>
          <w:lang w:eastAsia="zh-CN"/>
        </w:rPr>
        <w:t>维管理</w:t>
      </w:r>
      <w:proofErr w:type="gramEnd"/>
      <w:r>
        <w:rPr>
          <w:rFonts w:ascii="宋体" w:hAnsi="宋体" w:cs="宋体" w:hint="eastAsia"/>
          <w:lang w:eastAsia="zh-CN"/>
        </w:rPr>
        <w:t>模块对运维计划、运维日志、运维报表等实现电子化管理，无纸化办公；</w:t>
      </w:r>
    </w:p>
    <w:p w:rsidR="00851D42" w:rsidRDefault="00851D42" w:rsidP="00851D42">
      <w:pPr>
        <w:spacing w:line="360" w:lineRule="auto"/>
        <w:ind w:firstLineChars="200" w:firstLine="480"/>
        <w:rPr>
          <w:rFonts w:ascii="宋体" w:hAnsi="宋体" w:cs="宋体"/>
          <w:lang w:eastAsia="zh-CN"/>
        </w:rPr>
      </w:pPr>
      <w:r>
        <w:rPr>
          <w:rFonts w:ascii="宋体" w:hAnsi="宋体" w:cs="宋体" w:hint="eastAsia"/>
          <w:lang w:eastAsia="zh-CN"/>
        </w:rPr>
        <w:t>6）通过各个数据的信息汇总与延伸，建立大数据共享中心，使平台更智能化；</w:t>
      </w:r>
    </w:p>
    <w:p w:rsidR="00851D42" w:rsidRDefault="00851D42" w:rsidP="00851D42">
      <w:pPr>
        <w:spacing w:line="360" w:lineRule="auto"/>
        <w:ind w:firstLineChars="200" w:firstLine="480"/>
        <w:rPr>
          <w:rFonts w:ascii="宋体" w:hAnsi="宋体" w:cs="宋体"/>
          <w:b/>
          <w:bCs/>
          <w:sz w:val="52"/>
          <w:lang w:eastAsia="zh-CN"/>
        </w:rPr>
      </w:pPr>
      <w:r>
        <w:rPr>
          <w:rFonts w:ascii="宋体" w:hAnsi="宋体" w:cs="宋体" w:hint="eastAsia"/>
          <w:lang w:eastAsia="zh-CN"/>
        </w:rPr>
        <w:t>7）综合应用APP是中心数据管理平台的重要组成部分，在移动端APP上能够实现对各水质自动监测子站进行实时监控和管理。</w:t>
      </w:r>
    </w:p>
    <w:p w:rsidR="00D67617" w:rsidRDefault="00D67617">
      <w:pPr>
        <w:rPr>
          <w:lang w:eastAsia="zh-CN"/>
        </w:rPr>
      </w:pPr>
      <w:bookmarkStart w:id="23" w:name="_GoBack"/>
      <w:bookmarkEnd w:id="23"/>
    </w:p>
    <w:sectPr w:rsidR="00D676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1E1" w:rsidRDefault="001911E1" w:rsidP="00851D42">
      <w:r>
        <w:separator/>
      </w:r>
    </w:p>
  </w:endnote>
  <w:endnote w:type="continuationSeparator" w:id="0">
    <w:p w:rsidR="001911E1" w:rsidRDefault="001911E1" w:rsidP="0085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1E1" w:rsidRDefault="001911E1" w:rsidP="00851D42">
      <w:r>
        <w:separator/>
      </w:r>
    </w:p>
  </w:footnote>
  <w:footnote w:type="continuationSeparator" w:id="0">
    <w:p w:rsidR="001911E1" w:rsidRDefault="001911E1" w:rsidP="00851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7B923"/>
    <w:multiLevelType w:val="singleLevel"/>
    <w:tmpl w:val="9837B923"/>
    <w:lvl w:ilvl="0">
      <w:start w:val="7"/>
      <w:numFmt w:val="decimal"/>
      <w:suff w:val="nothing"/>
      <w:lvlText w:val="（%1）"/>
      <w:lvlJc w:val="left"/>
    </w:lvl>
  </w:abstractNum>
  <w:abstractNum w:abstractNumId="1">
    <w:nsid w:val="1B4C36B3"/>
    <w:multiLevelType w:val="singleLevel"/>
    <w:tmpl w:val="1B4C36B3"/>
    <w:lvl w:ilvl="0">
      <w:start w:val="8"/>
      <w:numFmt w:val="decimal"/>
      <w:suff w:val="nothing"/>
      <w:lvlText w:val="%1、"/>
      <w:lvlJc w:val="left"/>
    </w:lvl>
  </w:abstractNum>
  <w:abstractNum w:abstractNumId="2">
    <w:nsid w:val="2F9C24DD"/>
    <w:multiLevelType w:val="singleLevel"/>
    <w:tmpl w:val="2F9C24DD"/>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9C"/>
    <w:rsid w:val="001911E1"/>
    <w:rsid w:val="00851D42"/>
    <w:rsid w:val="00D1439C"/>
    <w:rsid w:val="00D6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51D42"/>
    <w:rPr>
      <w:rFonts w:ascii="Calibri" w:eastAsia="宋体" w:hAnsi="Calibri" w:cs="Times New Roman"/>
      <w:kern w:val="0"/>
      <w:sz w:val="24"/>
      <w:szCs w:val="24"/>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51D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51D42"/>
    <w:rPr>
      <w:sz w:val="18"/>
      <w:szCs w:val="18"/>
    </w:rPr>
  </w:style>
  <w:style w:type="paragraph" w:styleId="a5">
    <w:name w:val="footer"/>
    <w:basedOn w:val="a"/>
    <w:link w:val="Char0"/>
    <w:uiPriority w:val="99"/>
    <w:unhideWhenUsed/>
    <w:rsid w:val="00851D42"/>
    <w:pPr>
      <w:tabs>
        <w:tab w:val="center" w:pos="4153"/>
        <w:tab w:val="right" w:pos="8306"/>
      </w:tabs>
      <w:snapToGrid w:val="0"/>
    </w:pPr>
    <w:rPr>
      <w:sz w:val="18"/>
      <w:szCs w:val="18"/>
    </w:rPr>
  </w:style>
  <w:style w:type="character" w:customStyle="1" w:styleId="Char0">
    <w:name w:val="页脚 Char"/>
    <w:basedOn w:val="a1"/>
    <w:link w:val="a5"/>
    <w:uiPriority w:val="99"/>
    <w:rsid w:val="00851D42"/>
    <w:rPr>
      <w:sz w:val="18"/>
      <w:szCs w:val="18"/>
    </w:rPr>
  </w:style>
  <w:style w:type="table" w:styleId="a6">
    <w:name w:val="Table Grid"/>
    <w:basedOn w:val="a2"/>
    <w:qFormat/>
    <w:rsid w:val="00851D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851D42"/>
    <w:pPr>
      <w:widowControl w:val="0"/>
    </w:pPr>
    <w:rPr>
      <w:kern w:val="0"/>
      <w:sz w:val="22"/>
      <w:lang w:eastAsia="en-US"/>
    </w:rPr>
    <w:tblPr>
      <w:tblCellMar>
        <w:top w:w="0" w:type="dxa"/>
        <w:left w:w="0" w:type="dxa"/>
        <w:bottom w:w="0" w:type="dxa"/>
        <w:right w:w="0" w:type="dxa"/>
      </w:tblCellMar>
    </w:tblPr>
  </w:style>
  <w:style w:type="paragraph" w:styleId="a0">
    <w:name w:val="Message Header"/>
    <w:basedOn w:val="a"/>
    <w:link w:val="Char1"/>
    <w:uiPriority w:val="99"/>
    <w:semiHidden/>
    <w:unhideWhenUsed/>
    <w:rsid w:val="00851D4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1">
    <w:name w:val="信息标题 Char"/>
    <w:basedOn w:val="a1"/>
    <w:link w:val="a0"/>
    <w:uiPriority w:val="99"/>
    <w:semiHidden/>
    <w:rsid w:val="00851D42"/>
    <w:rPr>
      <w:rFonts w:asciiTheme="majorHAnsi" w:eastAsiaTheme="majorEastAsia" w:hAnsiTheme="majorHAnsi" w:cstheme="majorBidi"/>
      <w:kern w:val="0"/>
      <w:sz w:val="24"/>
      <w:szCs w:val="24"/>
      <w:shd w:val="pct20" w:color="auto" w:fill="auto"/>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51D42"/>
    <w:rPr>
      <w:rFonts w:ascii="Calibri" w:eastAsia="宋体" w:hAnsi="Calibri" w:cs="Times New Roman"/>
      <w:kern w:val="0"/>
      <w:sz w:val="24"/>
      <w:szCs w:val="24"/>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51D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51D42"/>
    <w:rPr>
      <w:sz w:val="18"/>
      <w:szCs w:val="18"/>
    </w:rPr>
  </w:style>
  <w:style w:type="paragraph" w:styleId="a5">
    <w:name w:val="footer"/>
    <w:basedOn w:val="a"/>
    <w:link w:val="Char0"/>
    <w:uiPriority w:val="99"/>
    <w:unhideWhenUsed/>
    <w:rsid w:val="00851D42"/>
    <w:pPr>
      <w:tabs>
        <w:tab w:val="center" w:pos="4153"/>
        <w:tab w:val="right" w:pos="8306"/>
      </w:tabs>
      <w:snapToGrid w:val="0"/>
    </w:pPr>
    <w:rPr>
      <w:sz w:val="18"/>
      <w:szCs w:val="18"/>
    </w:rPr>
  </w:style>
  <w:style w:type="character" w:customStyle="1" w:styleId="Char0">
    <w:name w:val="页脚 Char"/>
    <w:basedOn w:val="a1"/>
    <w:link w:val="a5"/>
    <w:uiPriority w:val="99"/>
    <w:rsid w:val="00851D42"/>
    <w:rPr>
      <w:sz w:val="18"/>
      <w:szCs w:val="18"/>
    </w:rPr>
  </w:style>
  <w:style w:type="table" w:styleId="a6">
    <w:name w:val="Table Grid"/>
    <w:basedOn w:val="a2"/>
    <w:qFormat/>
    <w:rsid w:val="00851D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851D42"/>
    <w:pPr>
      <w:widowControl w:val="0"/>
    </w:pPr>
    <w:rPr>
      <w:kern w:val="0"/>
      <w:sz w:val="22"/>
      <w:lang w:eastAsia="en-US"/>
    </w:rPr>
    <w:tblPr>
      <w:tblCellMar>
        <w:top w:w="0" w:type="dxa"/>
        <w:left w:w="0" w:type="dxa"/>
        <w:bottom w:w="0" w:type="dxa"/>
        <w:right w:w="0" w:type="dxa"/>
      </w:tblCellMar>
    </w:tblPr>
  </w:style>
  <w:style w:type="paragraph" w:styleId="a0">
    <w:name w:val="Message Header"/>
    <w:basedOn w:val="a"/>
    <w:link w:val="Char1"/>
    <w:uiPriority w:val="99"/>
    <w:semiHidden/>
    <w:unhideWhenUsed/>
    <w:rsid w:val="00851D4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1">
    <w:name w:val="信息标题 Char"/>
    <w:basedOn w:val="a1"/>
    <w:link w:val="a0"/>
    <w:uiPriority w:val="99"/>
    <w:semiHidden/>
    <w:rsid w:val="00851D42"/>
    <w:rPr>
      <w:rFonts w:asciiTheme="majorHAnsi" w:eastAsiaTheme="majorEastAsia" w:hAnsiTheme="majorHAnsi" w:cstheme="majorBidi"/>
      <w:kern w:val="0"/>
      <w:sz w:val="24"/>
      <w:szCs w:val="24"/>
      <w:shd w:val="pct20" w:color="auto" w:fill="auto"/>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1256</Words>
  <Characters>7160</Characters>
  <Application>Microsoft Office Word</Application>
  <DocSecurity>0</DocSecurity>
  <Lines>59</Lines>
  <Paragraphs>16</Paragraphs>
  <ScaleCrop>false</ScaleCrop>
  <Company>China</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永城市公共资源交易中心:周昱彤</dc:creator>
  <cp:keywords/>
  <dc:description/>
  <cp:lastModifiedBy>永城市公共资源交易中心:周昱彤</cp:lastModifiedBy>
  <cp:revision>2</cp:revision>
  <dcterms:created xsi:type="dcterms:W3CDTF">2019-09-30T07:57:00Z</dcterms:created>
  <dcterms:modified xsi:type="dcterms:W3CDTF">2019-09-30T07:58:00Z</dcterms:modified>
</cp:coreProperties>
</file>