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02" w:rsidRPr="00D15121" w:rsidRDefault="000D4A02" w:rsidP="000D4A02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 w:rsidRPr="00ED64C5"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8"/>
        <w:gridCol w:w="1299"/>
        <w:gridCol w:w="6525"/>
      </w:tblGrid>
      <w:tr w:rsidR="000D4A02" w:rsidRPr="008174A0" w:rsidTr="0058717A">
        <w:trPr>
          <w:trHeight w:val="567"/>
        </w:trPr>
        <w:tc>
          <w:tcPr>
            <w:tcW w:w="1080" w:type="dxa"/>
            <w:noWrap/>
            <w:vAlign w:val="center"/>
          </w:tcPr>
          <w:p w:rsidR="000D4A02" w:rsidRPr="00D15121" w:rsidRDefault="000D4A02" w:rsidP="005871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序号</w:t>
            </w:r>
          </w:p>
        </w:tc>
        <w:tc>
          <w:tcPr>
            <w:tcW w:w="2160" w:type="dxa"/>
            <w:noWrap/>
            <w:vAlign w:val="center"/>
          </w:tcPr>
          <w:p w:rsidR="000D4A02" w:rsidRPr="00D15121" w:rsidRDefault="000D4A02" w:rsidP="005871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项目名称</w:t>
            </w:r>
          </w:p>
        </w:tc>
        <w:tc>
          <w:tcPr>
            <w:tcW w:w="11540" w:type="dxa"/>
            <w:noWrap/>
            <w:vAlign w:val="center"/>
          </w:tcPr>
          <w:p w:rsidR="000D4A02" w:rsidRPr="00D15121" w:rsidRDefault="000D4A02" w:rsidP="0058717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/>
                <w:bCs/>
                <w:color w:val="000000"/>
                <w:szCs w:val="21"/>
                <w:shd w:val="clear" w:color="auto" w:fill="FFFFFF"/>
              </w:rPr>
              <w:t>项目要求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COD在线监测分析仪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测量原理：快速消解分光光度法，测量范围：0~200mg/L; 0~1000mg/L;（可扩展），数量：1.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氨氮在线监测分析仪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测量原理：水杨酸分光光度法，测量范围：0~2mg/L; 0~10mg/L;0~50mg/L;（可扩展），数量：1.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总磷在线监测分析仪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测量原理：钼酸铵分光光度法，测量范围：0~2mg/L; 0~10mg/L;（可扩展），数量：1.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总氮在线监测分析仪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测量原理：碱性过硫酸钾分光光度法，测量范围：0~10mg/L; 0~25mg/L;0~100mg/L（可扩展），数量：1.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工控机，显示器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IPC-610L/AKMB-G41/E5300/4G/1TB/DVD/键盘鼠标，数量：1.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在线不间断电源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5400W，数量：1.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水质自动采样仪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具备采集混合水样，混匀及暂存混合水样，超标留样及报警，冷藏样品，自动清洗及排空混匀桶功能，数量：1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VPN联网设备</w:t>
            </w:r>
          </w:p>
        </w:tc>
        <w:tc>
          <w:tcPr>
            <w:tcW w:w="1154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支持有线，多WAN口，网络接口参数 2WAN、2LAN、1DMZ，数量：1</w:t>
            </w: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540" w:type="dxa"/>
            <w:vMerge/>
            <w:vAlign w:val="center"/>
            <w:hideMark/>
          </w:tcPr>
          <w:p w:rsidR="000D4A02" w:rsidRPr="00D15121" w:rsidRDefault="000D4A02" w:rsidP="0058717A">
            <w:pPr>
              <w:widowControl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</w:p>
        </w:tc>
      </w:tr>
      <w:tr w:rsidR="000D4A02" w:rsidRPr="008174A0" w:rsidTr="0058717A">
        <w:trPr>
          <w:trHeight w:val="567"/>
        </w:trPr>
        <w:tc>
          <w:tcPr>
            <w:tcW w:w="108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9</w:t>
            </w:r>
          </w:p>
        </w:tc>
        <w:tc>
          <w:tcPr>
            <w:tcW w:w="2160" w:type="dxa"/>
            <w:vMerge w:val="restart"/>
            <w:noWrap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PH水质自动分析仪</w:t>
            </w:r>
          </w:p>
        </w:tc>
        <w:tc>
          <w:tcPr>
            <w:tcW w:w="11540" w:type="dxa"/>
            <w:vMerge w:val="restart"/>
            <w:vAlign w:val="center"/>
            <w:hideMark/>
          </w:tcPr>
          <w:p w:rsidR="000D4A02" w:rsidRPr="00D15121" w:rsidRDefault="000D4A02" w:rsidP="0058717A">
            <w:pPr>
              <w:widowControl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D15121">
              <w:rPr>
                <w:rFonts w:ascii="宋体" w:hAnsi="宋体" w:cs="宋体" w:hint="eastAsia"/>
                <w:bCs/>
                <w:color w:val="000000"/>
                <w:sz w:val="21"/>
                <w:szCs w:val="21"/>
                <w:shd w:val="clear" w:color="auto" w:fill="FFFFFF"/>
              </w:rPr>
              <w:t>1. 测量范围：2pH~12pH 2. 示值误差（准确度）：±0.1pH，数量：1</w:t>
            </w:r>
          </w:p>
        </w:tc>
      </w:tr>
    </w:tbl>
    <w:p w:rsidR="00294DDD" w:rsidRPr="000D4A02" w:rsidRDefault="00294DDD">
      <w:bookmarkStart w:id="0" w:name="_GoBack"/>
      <w:bookmarkEnd w:id="0"/>
    </w:p>
    <w:sectPr w:rsidR="00294DDD" w:rsidRPr="000D4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E5A" w:rsidRDefault="001F2E5A" w:rsidP="000D4A02">
      <w:r>
        <w:separator/>
      </w:r>
    </w:p>
  </w:endnote>
  <w:endnote w:type="continuationSeparator" w:id="0">
    <w:p w:rsidR="001F2E5A" w:rsidRDefault="001F2E5A" w:rsidP="000D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E5A" w:rsidRDefault="001F2E5A" w:rsidP="000D4A02">
      <w:r>
        <w:separator/>
      </w:r>
    </w:p>
  </w:footnote>
  <w:footnote w:type="continuationSeparator" w:id="0">
    <w:p w:rsidR="001F2E5A" w:rsidRDefault="001F2E5A" w:rsidP="000D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45"/>
    <w:rsid w:val="00097745"/>
    <w:rsid w:val="000D4A02"/>
    <w:rsid w:val="001F2E5A"/>
    <w:rsid w:val="0029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A02"/>
    <w:rPr>
      <w:sz w:val="18"/>
      <w:szCs w:val="18"/>
    </w:rPr>
  </w:style>
  <w:style w:type="table" w:styleId="a5">
    <w:name w:val="Table Grid"/>
    <w:basedOn w:val="a1"/>
    <w:rsid w:val="000D4A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A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A02"/>
    <w:rPr>
      <w:sz w:val="18"/>
      <w:szCs w:val="18"/>
    </w:rPr>
  </w:style>
  <w:style w:type="table" w:styleId="a5">
    <w:name w:val="Table Grid"/>
    <w:basedOn w:val="a1"/>
    <w:rsid w:val="000D4A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2019-09-23T07:41:00Z</dcterms:created>
  <dcterms:modified xsi:type="dcterms:W3CDTF">2019-09-23T07:41:00Z</dcterms:modified>
</cp:coreProperties>
</file>